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w:t>
      </w: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组织领导全县的审计工作，监督检查国家财经法规的贯彻落实，查处与财政收支、财务收支有关的违法违纪行为，维护财政经济秩序，促进廉政建设，保证国民经济和社会健康发展。</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（一）对县本级各部门(含直属单位)和下级政府预算的执行情况和决算以及其他财政收支情况，进行审计监督。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（二）对县本级预算执行情况和其他财政收支情况进行审计监督，向县政府和市审计局提出审计结果报告；受县政府委托向县人大常委会提出本级预算执行情况和其他财政收支的审计工作报告。</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（三）对县属国有金融机构的资产、负债、损益，进行审计监督。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（四）对县属的事业组织和使用财政资金的其他事业组织的财务收支，进行审计监督。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（五）对县属国有企业的资产、负债、损益，进行审计监督。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（六）根据国家有关规定，对国有资本占控股地位或者主导地位的县属企业、金融机构进行审计监督。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（七）对县政府投资和以市政府投资为主的建设项目的预算执行情况和决算，进行审计监督。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（八）对县政府部门管理的和其他单位受县政府委托管理的社会保障基金、社会捐赠资金以及其他有关基金、资金的财务收支，进行审计监督。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九）按照国家有关规定，根据干部监督、管理部门的委托，对县辖镇（乡）党政机关，县直机关及事业单位，县属国有及国有控股企业和依法属于县审计局审计监督对象的其他单位的主要负责人任期经济责任履行情况，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（十）除审计法规定的审计事项外，对其他法律、行政法规规定应当由县审计局进行审计的事项，依照审计法和有关法律、行政法规的规定进行审计监督。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（十一）对全县内部审计工作进行业务指导和监督。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（十二）按照国家有关规定，对社会审计机构审计的单位依法属于县审计局审计监督对象的，县审计局有权对该社会审计机构出具的相关审计报告进行核查。</w:t>
      </w:r>
    </w:p>
    <w:p>
      <w:pPr>
        <w:spacing w:line="584" w:lineRule="exact"/>
        <w:ind w:firstLine="640" w:firstLineChars="200"/>
        <w:rPr>
          <w:rFonts w:ascii="楷体" w:hAnsi="楷体" w:eastAsia="楷体" w:cs="Times New Roman"/>
          <w:b/>
          <w:sz w:val="32"/>
          <w:szCs w:val="32"/>
        </w:rPr>
      </w:pPr>
      <w:r>
        <w:rPr>
          <w:rFonts w:hint="eastAsia" w:ascii="仿宋" w:hAnsi="仿宋" w:eastAsia="仿宋" w:cs="Times New Roman"/>
          <w:sz w:val="32"/>
          <w:szCs w:val="32"/>
        </w:rPr>
        <w:t>（十三）贯彻落实国家审计法律、法规和规章，研究拟定地方性审计规章制度，参与制定地方财经法规和规章并监督执行。</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大厂回族自治县审计局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审计局机关</w:t>
      </w:r>
      <w:r>
        <w:rPr>
          <w:rFonts w:ascii="仿宋" w:hAnsi="仿宋" w:eastAsia="仿宋" w:cs="Times New Roman"/>
          <w:sz w:val="32"/>
          <w:szCs w:val="32"/>
        </w:rPr>
        <w:t>的收支包含在部门预算中。</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1、收入说明</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952.69</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949.59</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3.10</w:t>
      </w:r>
      <w:r>
        <w:rPr>
          <w:rFonts w:hint="eastAsia" w:ascii="仿宋" w:hAnsi="仿宋" w:eastAsia="仿宋" w:cs="Times New Roman"/>
          <w:sz w:val="32"/>
          <w:szCs w:val="32"/>
        </w:rPr>
        <w:t>万元</w:t>
      </w:r>
      <w:r>
        <w:rPr>
          <w:rFonts w:ascii="仿宋" w:hAnsi="仿宋" w:eastAsia="仿宋" w:cs="Times New Roman"/>
          <w:sz w:val="32"/>
          <w:szCs w:val="32"/>
        </w:rPr>
        <w:t>。</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2、支出说明</w:t>
      </w:r>
    </w:p>
    <w:p>
      <w:pPr>
        <w:keepNext w:val="0"/>
        <w:keepLines w:val="0"/>
        <w:pageBreakBefore w:val="0"/>
        <w:widowControl w:val="0"/>
        <w:kinsoku/>
        <w:wordWrap/>
        <w:overflowPunct/>
        <w:topLinePunct w:val="0"/>
        <w:bidi w:val="0"/>
        <w:snapToGrid/>
        <w:spacing w:line="584" w:lineRule="exact"/>
        <w:ind w:firstLine="640"/>
        <w:textAlignment w:val="auto"/>
        <w:rPr>
          <w:rFonts w:hint="eastAsia" w:ascii="仿宋" w:hAnsi="仿宋" w:eastAsia="仿宋" w:cs="Times New Roman"/>
          <w:sz w:val="32"/>
          <w:szCs w:val="32"/>
          <w:lang w:val="en-US" w:eastAsia="zh-CN"/>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审计局2023</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952.69</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780.12</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689.58</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90.54</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172.57</w:t>
      </w:r>
      <w:r>
        <w:rPr>
          <w:rFonts w:ascii="仿宋" w:hAnsi="仿宋" w:eastAsia="仿宋" w:cs="Times New Roman"/>
          <w:sz w:val="32"/>
          <w:szCs w:val="32"/>
        </w:rPr>
        <w:t>万元，主要为</w:t>
      </w:r>
      <w:r>
        <w:rPr>
          <w:rFonts w:hint="eastAsia" w:ascii="仿宋" w:hAnsi="仿宋" w:eastAsia="仿宋" w:cs="Times New Roman"/>
          <w:sz w:val="32"/>
          <w:szCs w:val="32"/>
        </w:rPr>
        <w:t>一级预算单位财务数据采集费</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网络运行维护费、房屋租赁费、各项目审计费支出。</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3、比上年增减情况</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952.69万元</w:t>
      </w:r>
      <w:r>
        <w:rPr>
          <w:rFonts w:ascii="仿宋" w:hAnsi="仿宋" w:eastAsia="仿宋" w:cs="Times New Roman"/>
          <w:sz w:val="32"/>
          <w:szCs w:val="32"/>
        </w:rPr>
        <w:t>，较20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2</w:t>
      </w:r>
      <w:r>
        <w:rPr>
          <w:rFonts w:ascii="仿宋" w:hAnsi="仿宋" w:eastAsia="仿宋" w:cs="Times New Roman"/>
          <w:sz w:val="32"/>
          <w:szCs w:val="32"/>
        </w:rPr>
        <w:t>年预算</w:t>
      </w:r>
      <w:r>
        <w:rPr>
          <w:rFonts w:hint="eastAsia" w:ascii="仿宋" w:hAnsi="仿宋" w:eastAsia="仿宋" w:cs="Times New Roman"/>
          <w:sz w:val="32"/>
          <w:szCs w:val="32"/>
          <w:lang w:val="en-US" w:eastAsia="zh-CN"/>
        </w:rPr>
        <w:t>增加</w:t>
      </w:r>
      <w:r>
        <w:rPr>
          <w:rFonts w:hint="eastAsia" w:ascii="仿宋" w:hAnsi="仿宋" w:eastAsia="仿宋" w:cs="Times New Roman"/>
          <w:sz w:val="32"/>
          <w:szCs w:val="32"/>
          <w:highlight w:val="none"/>
          <w:lang w:val="en-US" w:eastAsia="zh-CN"/>
        </w:rPr>
        <w:t>7.04</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增加6.14</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人员经费</w:t>
      </w:r>
      <w:r>
        <w:rPr>
          <w:rFonts w:ascii="仿宋" w:hAnsi="仿宋" w:eastAsia="仿宋" w:cs="Times New Roman"/>
          <w:sz w:val="32"/>
          <w:szCs w:val="32"/>
        </w:rPr>
        <w:t>支出</w:t>
      </w:r>
      <w:r>
        <w:rPr>
          <w:rFonts w:hint="eastAsia" w:ascii="仿宋" w:hAnsi="仿宋" w:eastAsia="仿宋" w:cs="Times New Roman"/>
          <w:sz w:val="32"/>
          <w:szCs w:val="32"/>
          <w:lang w:val="en-US" w:eastAsia="zh-CN"/>
        </w:rPr>
        <w:t>增加</w:t>
      </w:r>
      <w:r>
        <w:rPr>
          <w:rFonts w:ascii="仿宋" w:hAnsi="仿宋" w:eastAsia="仿宋" w:cs="Times New Roman"/>
          <w:sz w:val="32"/>
          <w:szCs w:val="32"/>
        </w:rPr>
        <w:t>；项目支出增加</w:t>
      </w:r>
      <w:r>
        <w:rPr>
          <w:rFonts w:hint="eastAsia" w:ascii="仿宋" w:hAnsi="仿宋" w:eastAsia="仿宋" w:cs="Times New Roman"/>
          <w:sz w:val="32"/>
          <w:szCs w:val="32"/>
          <w:highlight w:val="none"/>
          <w:lang w:val="en-US" w:eastAsia="zh-CN"/>
        </w:rPr>
        <w:t>0.9</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各项目审计费支出增加</w:t>
      </w:r>
      <w:r>
        <w:rPr>
          <w:rFonts w:ascii="仿宋" w:hAnsi="仿宋" w:eastAsia="仿宋"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84" w:lineRule="exact"/>
        <w:ind w:left="198"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198" w:firstLine="640" w:firstLineChars="200"/>
        <w:jc w:val="left"/>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90.54</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审计局</w:t>
      </w:r>
      <w:r>
        <w:rPr>
          <w:rFonts w:ascii="仿宋" w:hAnsi="仿宋" w:eastAsia="仿宋" w:cs="Times New Roman"/>
          <w:sz w:val="32"/>
          <w:szCs w:val="32"/>
        </w:rPr>
        <w:t>办公区的日常维修、办公用房水</w:t>
      </w:r>
      <w:r>
        <w:rPr>
          <w:rFonts w:hint="eastAsia" w:ascii="仿宋" w:hAnsi="仿宋" w:eastAsia="仿宋" w:cs="Times New Roman"/>
          <w:sz w:val="32"/>
          <w:szCs w:val="32"/>
          <w:lang w:val="en-US" w:eastAsia="zh-CN"/>
        </w:rPr>
        <w:t>电</w:t>
      </w:r>
      <w:r>
        <w:rPr>
          <w:rFonts w:ascii="仿宋" w:hAnsi="仿宋" w:eastAsia="仿宋" w:cs="Times New Roman"/>
          <w:sz w:val="32"/>
          <w:szCs w:val="32"/>
        </w:rPr>
        <w:t>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707" w:firstLineChars="221"/>
        <w:jc w:val="left"/>
        <w:textAlignment w:val="auto"/>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3</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5.43</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w:t>
      </w:r>
      <w:r>
        <w:rPr>
          <w:rFonts w:hint="eastAsia" w:ascii="仿宋" w:hAnsi="仿宋" w:eastAsia="仿宋" w:cs="Times New Roman"/>
          <w:sz w:val="32"/>
          <w:szCs w:val="32"/>
          <w:lang w:val="en-US" w:eastAsia="zh-CN"/>
        </w:rPr>
        <w:t>车</w:t>
      </w:r>
      <w:r>
        <w:rPr>
          <w:rFonts w:ascii="仿宋" w:hAnsi="仿宋" w:eastAsia="仿宋" w:cs="Times New Roman"/>
          <w:sz w:val="32"/>
          <w:szCs w:val="32"/>
        </w:rPr>
        <w:t>购置及运维费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0.43</w:t>
      </w:r>
      <w:r>
        <w:rPr>
          <w:rFonts w:ascii="仿宋" w:hAnsi="仿宋" w:eastAsia="仿宋" w:cs="Times New Roman"/>
          <w:sz w:val="32"/>
          <w:szCs w:val="32"/>
        </w:rPr>
        <w:t>万元。与20</w:t>
      </w:r>
      <w:r>
        <w:rPr>
          <w:rFonts w:hint="eastAsia" w:ascii="仿宋" w:hAnsi="仿宋" w:eastAsia="仿宋" w:cs="Times New Roman"/>
          <w:sz w:val="32"/>
          <w:szCs w:val="32"/>
        </w:rPr>
        <w:t>2</w:t>
      </w:r>
      <w:r>
        <w:rPr>
          <w:rFonts w:hint="eastAsia" w:ascii="仿宋" w:hAnsi="仿宋" w:eastAsia="仿宋" w:cs="Times New Roman"/>
          <w:sz w:val="32"/>
          <w:szCs w:val="32"/>
          <w:lang w:val="en-US" w:eastAsia="zh-CN"/>
        </w:rPr>
        <w:t>2</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highlight w:val="none"/>
        </w:rPr>
        <w:t>减</w:t>
      </w:r>
      <w:r>
        <w:rPr>
          <w:rFonts w:hint="eastAsia" w:ascii="仿宋" w:hAnsi="仿宋" w:eastAsia="仿宋" w:cs="Times New Roman"/>
          <w:sz w:val="32"/>
          <w:szCs w:val="32"/>
          <w:highlight w:val="none"/>
        </w:rPr>
        <w:t>少</w:t>
      </w:r>
      <w:r>
        <w:rPr>
          <w:rFonts w:hint="eastAsia" w:ascii="仿宋" w:hAnsi="仿宋" w:eastAsia="仿宋" w:cs="Times New Roman"/>
          <w:sz w:val="32"/>
          <w:szCs w:val="32"/>
          <w:lang w:val="en-US" w:eastAsia="zh-CN"/>
        </w:rPr>
        <w:t>0.03</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w:t>
      </w:r>
      <w:r>
        <w:rPr>
          <w:rFonts w:ascii="仿宋" w:hAnsi="仿宋" w:eastAsia="仿宋" w:cs="Times New Roman"/>
          <w:color w:val="auto"/>
          <w:sz w:val="32"/>
          <w:szCs w:val="32"/>
        </w:rPr>
        <w:t>与20</w:t>
      </w:r>
      <w:r>
        <w:rPr>
          <w:rFonts w:hint="eastAsia" w:ascii="仿宋" w:hAnsi="仿宋" w:eastAsia="仿宋" w:cs="Times New Roman"/>
          <w:color w:val="auto"/>
          <w:sz w:val="32"/>
          <w:szCs w:val="32"/>
        </w:rPr>
        <w:t>2</w:t>
      </w:r>
      <w:r>
        <w:rPr>
          <w:rFonts w:hint="eastAsia" w:ascii="仿宋" w:hAnsi="仿宋" w:eastAsia="仿宋" w:cs="Times New Roman"/>
          <w:color w:val="auto"/>
          <w:sz w:val="32"/>
          <w:szCs w:val="32"/>
          <w:lang w:val="en-US" w:eastAsia="zh-CN"/>
        </w:rPr>
        <w:t>2</w:t>
      </w:r>
      <w:r>
        <w:rPr>
          <w:rFonts w:ascii="仿宋" w:hAnsi="仿宋" w:eastAsia="仿宋" w:cs="Times New Roman"/>
          <w:color w:val="auto"/>
          <w:sz w:val="32"/>
          <w:szCs w:val="32"/>
        </w:rPr>
        <w:t>年相比持平，无增减变化；公</w:t>
      </w:r>
      <w:r>
        <w:rPr>
          <w:rFonts w:ascii="仿宋" w:hAnsi="仿宋" w:eastAsia="仿宋" w:cs="Times New Roman"/>
          <w:sz w:val="32"/>
          <w:szCs w:val="32"/>
        </w:rPr>
        <w:t>务接待费</w:t>
      </w:r>
      <w:r>
        <w:rPr>
          <w:rFonts w:hint="eastAsia" w:ascii="仿宋" w:hAnsi="仿宋" w:eastAsia="仿宋" w:cs="Times New Roman"/>
          <w:sz w:val="32"/>
          <w:szCs w:val="32"/>
          <w:lang w:val="en-US" w:eastAsia="zh-CN"/>
        </w:rPr>
        <w:t>减少0.03</w:t>
      </w:r>
      <w:r>
        <w:rPr>
          <w:rFonts w:hint="eastAsia" w:ascii="仿宋" w:hAnsi="仿宋" w:eastAsia="仿宋" w:cs="Times New Roman"/>
          <w:sz w:val="32"/>
          <w:szCs w:val="32"/>
        </w:rPr>
        <w:t>万元，</w:t>
      </w:r>
      <w:r>
        <w:rPr>
          <w:rFonts w:ascii="仿宋" w:hAnsi="仿宋" w:eastAsia="仿宋" w:cs="Times New Roman"/>
          <w:sz w:val="32"/>
          <w:szCs w:val="32"/>
        </w:rPr>
        <w:t>主要原因是</w:t>
      </w:r>
      <w:r>
        <w:rPr>
          <w:rFonts w:hint="eastAsia" w:ascii="仿宋" w:hAnsi="仿宋" w:eastAsia="仿宋" w:cs="Times New Roman"/>
          <w:sz w:val="32"/>
          <w:szCs w:val="32"/>
        </w:rPr>
        <w:t>我部门切实落实勤俭节约各项规定，严格控制公务接待费支出。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绩效预算信息</w:t>
      </w:r>
    </w:p>
    <w:p>
      <w:pPr>
        <w:keepNext w:val="0"/>
        <w:keepLines w:val="0"/>
        <w:pageBreakBefore w:val="0"/>
        <w:widowControl w:val="0"/>
        <w:kinsoku/>
        <w:wordWrap/>
        <w:overflowPunct/>
        <w:topLinePunct w:val="0"/>
        <w:bidi w:val="0"/>
        <w:snapToGrid/>
        <w:spacing w:line="584" w:lineRule="exact"/>
        <w:ind w:firstLine="960" w:firstLineChars="3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第一部分 部门整体绩效目标</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 w:hAnsi="楷体" w:eastAsia="楷体" w:cs="Times New Roman"/>
          <w:b/>
          <w:color w:val="auto"/>
          <w:sz w:val="32"/>
          <w:szCs w:val="32"/>
        </w:rPr>
      </w:pPr>
      <w:r>
        <w:rPr>
          <w:rFonts w:hint="eastAsia" w:ascii="楷体" w:hAnsi="楷体" w:eastAsia="楷体" w:cs="Times New Roman"/>
          <w:b/>
          <w:color w:val="auto"/>
          <w:sz w:val="32"/>
          <w:szCs w:val="32"/>
        </w:rPr>
        <w:t>（一）总体绩效目标</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根据县财政局统一部署，结合我局实际，确定2023年审计局总体发展规划目标是：坚持以习近平新时代中国特色社会主义思想为指导，全面贯彻党的二十大以及中央审计委员会议精神，认真落实省委省政府、市委市政府、县委县政府决策部署，增强“四个意识”、坚定“四个自信”、做到“两个维护”，立足“审计监督首先是经济监督”定位，贯彻新发展理念，聚焦主责主业，坚持科技强审，完善一级预算单位审计全覆盖模式，深化预算执行、决算草案审计，推动全面实施绩效管理，促进财政资金提质增效，促进全县经济高质量发展。</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 w:hAnsi="楷体" w:eastAsia="楷体" w:cs="Times New Roman"/>
          <w:b/>
          <w:color w:val="auto"/>
          <w:sz w:val="32"/>
          <w:szCs w:val="32"/>
        </w:rPr>
      </w:pPr>
      <w:r>
        <w:rPr>
          <w:rFonts w:hint="eastAsia" w:ascii="楷体" w:hAnsi="楷体" w:eastAsia="楷体" w:cs="Times New Roman"/>
          <w:b/>
          <w:color w:val="auto"/>
          <w:sz w:val="32"/>
          <w:szCs w:val="32"/>
        </w:rPr>
        <w:t>（二）分项绩效目标</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color w:val="auto"/>
          <w:sz w:val="32"/>
          <w:szCs w:val="32"/>
        </w:rPr>
      </w:pPr>
      <w:r>
        <w:rPr>
          <w:rFonts w:hint="eastAsia" w:ascii="仿宋" w:hAnsi="仿宋" w:eastAsia="仿宋" w:cs="Times New Roman"/>
          <w:b/>
          <w:bCs/>
          <w:color w:val="auto"/>
          <w:sz w:val="32"/>
          <w:szCs w:val="32"/>
          <w:lang w:val="en-US" w:eastAsia="zh-CN"/>
        </w:rPr>
        <w:t>1、</w:t>
      </w:r>
      <w:r>
        <w:rPr>
          <w:rFonts w:hint="eastAsia" w:ascii="仿宋" w:hAnsi="仿宋" w:eastAsia="仿宋" w:cs="Times New Roman"/>
          <w:b/>
          <w:bCs/>
          <w:color w:val="auto"/>
          <w:sz w:val="32"/>
          <w:szCs w:val="32"/>
        </w:rPr>
        <w:t>持续开展审计业务</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目标：建立完善审计项目统筹协调机制，优化职能管理，做好项目统筹，整合审计资源，科学制定、合理安排审计计划和项目，扎实做好数据分析，用好大数据技术，深入研究政策制度，细化审前调查和实施方案，切实增强实施方案的指导性，推进项目按要求、按步骤、按内容实施到位，确保审计项目按时高质量完成，达到预期审计目的。树立研究型审计理念，对发现的问题、案例和重大违纪违法问题线索及时深入进行分析归纳、深入挖掘、系统研究，从体制机制制度层面提出建议，更好发挥审计“治已病、防未病”作用，</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绩效指标：全面提高审计质量，推动审计高质量发展。</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color w:val="auto"/>
          <w:sz w:val="32"/>
          <w:szCs w:val="32"/>
        </w:rPr>
      </w:pPr>
      <w:r>
        <w:rPr>
          <w:rFonts w:hint="eastAsia" w:ascii="仿宋" w:hAnsi="仿宋" w:eastAsia="仿宋" w:cs="Times New Roman"/>
          <w:b/>
          <w:bCs/>
          <w:color w:val="auto"/>
          <w:sz w:val="32"/>
          <w:szCs w:val="32"/>
          <w:lang w:val="en-US" w:eastAsia="zh-CN"/>
        </w:rPr>
        <w:t>2、</w:t>
      </w:r>
      <w:r>
        <w:rPr>
          <w:rFonts w:hint="eastAsia" w:ascii="仿宋" w:hAnsi="仿宋" w:eastAsia="仿宋" w:cs="Times New Roman"/>
          <w:b/>
          <w:bCs/>
          <w:color w:val="auto"/>
          <w:sz w:val="32"/>
          <w:szCs w:val="32"/>
        </w:rPr>
        <w:t>开展审计信息化运维，保障内审工作</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绩效目标：开展信息化运维；提高人员业务水平；促进审计文化研究，推动审计事业发展。</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绩效指标：保障信息安全有效。</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color w:val="auto"/>
          <w:sz w:val="32"/>
          <w:szCs w:val="32"/>
        </w:rPr>
      </w:pPr>
      <w:r>
        <w:rPr>
          <w:rFonts w:hint="eastAsia" w:ascii="仿宋" w:hAnsi="仿宋" w:eastAsia="仿宋" w:cs="Times New Roman"/>
          <w:b/>
          <w:bCs/>
          <w:color w:val="auto"/>
          <w:sz w:val="32"/>
          <w:szCs w:val="32"/>
          <w:lang w:val="en-US" w:eastAsia="zh-CN"/>
        </w:rPr>
        <w:t>3、</w:t>
      </w:r>
      <w:r>
        <w:rPr>
          <w:rFonts w:hint="eastAsia" w:ascii="仿宋" w:hAnsi="仿宋" w:eastAsia="仿宋" w:cs="Times New Roman"/>
          <w:b/>
          <w:bCs/>
          <w:color w:val="auto"/>
          <w:sz w:val="32"/>
          <w:szCs w:val="32"/>
        </w:rPr>
        <w:t>加强法制建设，依法开展各项工作</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b w:val="0"/>
          <w:bCs w:val="0"/>
          <w:color w:val="auto"/>
          <w:sz w:val="32"/>
          <w:szCs w:val="32"/>
        </w:rPr>
      </w:pPr>
      <w:r>
        <w:rPr>
          <w:rFonts w:hint="eastAsia" w:ascii="仿宋" w:hAnsi="仿宋" w:eastAsia="仿宋" w:cs="Times New Roman"/>
          <w:b w:val="0"/>
          <w:bCs w:val="0"/>
          <w:color w:val="auto"/>
          <w:sz w:val="32"/>
          <w:szCs w:val="32"/>
        </w:rPr>
        <w:t>绩效目标：结合新修订《</w:t>
      </w:r>
      <w:r>
        <w:rPr>
          <w:rFonts w:hint="eastAsia" w:ascii="仿宋" w:hAnsi="仿宋" w:eastAsia="仿宋" w:cs="Times New Roman"/>
          <w:b w:val="0"/>
          <w:bCs w:val="0"/>
          <w:color w:val="auto"/>
          <w:sz w:val="32"/>
          <w:szCs w:val="32"/>
          <w:lang w:val="en-US" w:eastAsia="zh-CN"/>
        </w:rPr>
        <w:t>中华人民共和国</w:t>
      </w:r>
      <w:r>
        <w:rPr>
          <w:rFonts w:hint="eastAsia" w:ascii="仿宋" w:hAnsi="仿宋" w:eastAsia="仿宋" w:cs="Times New Roman"/>
          <w:b w:val="0"/>
          <w:bCs w:val="0"/>
          <w:color w:val="auto"/>
          <w:sz w:val="32"/>
          <w:szCs w:val="32"/>
        </w:rPr>
        <w:t>审计法》加大学习宣传力度，组织全体机关干部认真参加审计署新修订《</w:t>
      </w:r>
      <w:r>
        <w:rPr>
          <w:rFonts w:hint="eastAsia" w:ascii="仿宋" w:hAnsi="仿宋" w:eastAsia="仿宋" w:cs="Times New Roman"/>
          <w:b w:val="0"/>
          <w:bCs w:val="0"/>
          <w:color w:val="auto"/>
          <w:sz w:val="32"/>
          <w:szCs w:val="32"/>
          <w:lang w:val="en-US" w:eastAsia="zh-CN"/>
        </w:rPr>
        <w:t>中华人民共和国</w:t>
      </w:r>
      <w:r>
        <w:rPr>
          <w:rFonts w:hint="eastAsia" w:ascii="仿宋" w:hAnsi="仿宋" w:eastAsia="仿宋" w:cs="Times New Roman"/>
          <w:b w:val="0"/>
          <w:bCs w:val="0"/>
          <w:color w:val="auto"/>
          <w:sz w:val="32"/>
          <w:szCs w:val="32"/>
        </w:rPr>
        <w:t>审计法》业务培训班，领会修订内容的新要求，为依法开展审计工作奠定坚实基础。同时，通过审计见面会等形式，向各单位领导、财会人员及相关业务人员宣传《</w:t>
      </w:r>
      <w:r>
        <w:rPr>
          <w:rFonts w:hint="eastAsia" w:ascii="仿宋" w:hAnsi="仿宋" w:eastAsia="仿宋" w:cs="Times New Roman"/>
          <w:b w:val="0"/>
          <w:bCs w:val="0"/>
          <w:color w:val="auto"/>
          <w:sz w:val="32"/>
          <w:szCs w:val="32"/>
          <w:lang w:val="en-US" w:eastAsia="zh-CN"/>
        </w:rPr>
        <w:t>中华人民共和国</w:t>
      </w:r>
      <w:r>
        <w:rPr>
          <w:rFonts w:hint="eastAsia" w:ascii="仿宋" w:hAnsi="仿宋" w:eastAsia="仿宋" w:cs="Times New Roman"/>
          <w:b w:val="0"/>
          <w:bCs w:val="0"/>
          <w:color w:val="auto"/>
          <w:sz w:val="32"/>
          <w:szCs w:val="32"/>
        </w:rPr>
        <w:t>审计法》、《</w:t>
      </w:r>
      <w:r>
        <w:rPr>
          <w:rFonts w:hint="eastAsia" w:ascii="仿宋" w:hAnsi="仿宋" w:eastAsia="仿宋" w:cs="Times New Roman"/>
          <w:b w:val="0"/>
          <w:bCs w:val="0"/>
          <w:color w:val="auto"/>
          <w:sz w:val="32"/>
          <w:szCs w:val="32"/>
          <w:lang w:val="en-US" w:eastAsia="zh-CN"/>
        </w:rPr>
        <w:t>中华人民共和国</w:t>
      </w:r>
      <w:bookmarkStart w:id="4" w:name="_GoBack"/>
      <w:bookmarkEnd w:id="4"/>
      <w:r>
        <w:rPr>
          <w:rFonts w:hint="eastAsia" w:ascii="仿宋" w:hAnsi="仿宋" w:eastAsia="仿宋" w:cs="Times New Roman"/>
          <w:b w:val="0"/>
          <w:bCs w:val="0"/>
          <w:color w:val="auto"/>
          <w:sz w:val="32"/>
          <w:szCs w:val="32"/>
        </w:rPr>
        <w:t>会计法》和《党政主要领导干部和国有企业领导人员经济责任审计规定》等法律法规、政策规定，促进提升领导干部依法执政、依法行政、依法决策的能力和水平。</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b w:val="0"/>
          <w:bCs w:val="0"/>
          <w:color w:val="auto"/>
          <w:sz w:val="32"/>
          <w:szCs w:val="32"/>
        </w:rPr>
      </w:pPr>
      <w:r>
        <w:rPr>
          <w:rFonts w:hint="eastAsia" w:ascii="仿宋" w:hAnsi="仿宋" w:eastAsia="仿宋" w:cs="Times New Roman"/>
          <w:b w:val="0"/>
          <w:bCs w:val="0"/>
          <w:color w:val="auto"/>
          <w:sz w:val="32"/>
          <w:szCs w:val="32"/>
        </w:rPr>
        <w:t>绩效指标：促进提高广大财会人员和相关业务人员贯彻执行财经法律法规的自觉性。</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color w:val="auto"/>
          <w:sz w:val="32"/>
          <w:szCs w:val="32"/>
          <w:lang w:eastAsia="zh-CN"/>
        </w:rPr>
      </w:pPr>
      <w:r>
        <w:rPr>
          <w:rFonts w:hint="eastAsia" w:ascii="仿宋" w:hAnsi="仿宋" w:eastAsia="仿宋" w:cs="Times New Roman"/>
          <w:b/>
          <w:bCs/>
          <w:color w:val="auto"/>
          <w:sz w:val="32"/>
          <w:szCs w:val="32"/>
          <w:lang w:val="en-US" w:eastAsia="zh-CN"/>
        </w:rPr>
        <w:t>4、</w:t>
      </w:r>
      <w:r>
        <w:rPr>
          <w:rFonts w:hint="eastAsia" w:ascii="仿宋" w:hAnsi="仿宋" w:eastAsia="仿宋" w:cs="Times New Roman"/>
          <w:b/>
          <w:bCs/>
          <w:color w:val="auto"/>
          <w:sz w:val="32"/>
          <w:szCs w:val="32"/>
        </w:rPr>
        <w:t>保障审计工作顺利开展</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绩效目标：开展互联网专线维护，保障系统运行。</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hint="eastAsia" w:ascii="仿宋" w:hAnsi="仿宋" w:eastAsia="仿宋" w:cs="Times New Roman"/>
          <w:color w:val="auto"/>
          <w:sz w:val="32"/>
          <w:szCs w:val="32"/>
        </w:rPr>
      </w:pPr>
      <w:r>
        <w:rPr>
          <w:rFonts w:hint="eastAsia" w:ascii="仿宋" w:hAnsi="仿宋" w:eastAsia="仿宋" w:cs="Times New Roman"/>
          <w:color w:val="auto"/>
          <w:sz w:val="32"/>
          <w:szCs w:val="32"/>
        </w:rPr>
        <w:t>绩效指标：保障审计工作的正常开展。</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 w:hAnsi="楷体" w:eastAsia="楷体" w:cs="Times New Roman"/>
          <w:b/>
          <w:bCs w:val="0"/>
          <w:color w:val="auto"/>
          <w:sz w:val="32"/>
          <w:szCs w:val="32"/>
        </w:rPr>
      </w:pPr>
      <w:r>
        <w:rPr>
          <w:rFonts w:hint="eastAsia" w:ascii="楷体" w:hAnsi="楷体" w:eastAsia="楷体" w:cs="Times New Roman"/>
          <w:b/>
          <w:bCs w:val="0"/>
          <w:color w:val="auto"/>
          <w:sz w:val="32"/>
          <w:szCs w:val="32"/>
        </w:rPr>
        <w:t>（三）工作保障措施</w:t>
      </w:r>
    </w:p>
    <w:p>
      <w:pPr>
        <w:spacing w:line="584" w:lineRule="exact"/>
        <w:ind w:firstLine="643" w:firstLineChars="200"/>
        <w:rPr>
          <w:rFonts w:hint="eastAsia" w:ascii="仿宋" w:hAnsi="仿宋" w:eastAsia="仿宋" w:cs="Times New Roman"/>
          <w:b/>
          <w:bCs w:val="0"/>
          <w:color w:val="auto"/>
          <w:sz w:val="32"/>
          <w:szCs w:val="32"/>
          <w:lang w:val="en-US" w:eastAsia="zh-CN"/>
        </w:rPr>
      </w:pPr>
      <w:r>
        <w:rPr>
          <w:rFonts w:hint="eastAsia" w:ascii="仿宋" w:hAnsi="仿宋" w:eastAsia="仿宋" w:cs="Times New Roman"/>
          <w:b/>
          <w:bCs w:val="0"/>
          <w:color w:val="auto"/>
          <w:sz w:val="32"/>
          <w:szCs w:val="32"/>
          <w:lang w:val="en-US" w:eastAsia="zh-CN"/>
        </w:rPr>
        <w:t>1、完善制度建设强化学习本领</w:t>
      </w:r>
    </w:p>
    <w:p>
      <w:pPr>
        <w:spacing w:line="584" w:lineRule="exact"/>
        <w:ind w:firstLine="640" w:firstLineChars="200"/>
        <w:rPr>
          <w:rFonts w:hint="eastAsia" w:ascii="仿宋" w:hAnsi="仿宋" w:eastAsia="仿宋" w:cs="Times New Roman"/>
          <w:b w:val="0"/>
          <w:bCs/>
          <w:color w:val="auto"/>
          <w:sz w:val="32"/>
          <w:szCs w:val="32"/>
          <w:lang w:val="en-US" w:eastAsia="zh-CN"/>
        </w:rPr>
      </w:pPr>
      <w:r>
        <w:rPr>
          <w:rFonts w:hint="eastAsia" w:ascii="仿宋" w:hAnsi="仿宋" w:eastAsia="仿宋" w:cs="Times New Roman"/>
          <w:b w:val="0"/>
          <w:bCs/>
          <w:color w:val="auto"/>
          <w:sz w:val="32"/>
          <w:szCs w:val="32"/>
          <w:lang w:val="en-US" w:eastAsia="zh-CN"/>
        </w:rPr>
        <w:t>学习习近平新时代中国特色社会主义思想，认真践行审计工作要求，提高党员干部践行初心使命意识和履职尽责能力。加强业务技能培训、以干代训、典型案例、分析研讨，积极推进研究型审计工作，强化审计宏观服务能力，审计结果更好为县委县政府提供决策参考。</w:t>
      </w:r>
    </w:p>
    <w:p>
      <w:pPr>
        <w:spacing w:line="584" w:lineRule="exact"/>
        <w:ind w:firstLine="643" w:firstLineChars="200"/>
        <w:rPr>
          <w:rFonts w:hint="eastAsia" w:ascii="仿宋" w:hAnsi="仿宋" w:eastAsia="仿宋" w:cs="Times New Roman"/>
          <w:b/>
          <w:bCs w:val="0"/>
          <w:color w:val="auto"/>
          <w:sz w:val="32"/>
          <w:szCs w:val="32"/>
          <w:lang w:val="en-US" w:eastAsia="zh-CN"/>
        </w:rPr>
      </w:pPr>
      <w:r>
        <w:rPr>
          <w:rFonts w:hint="eastAsia" w:ascii="仿宋" w:hAnsi="仿宋" w:eastAsia="仿宋" w:cs="Times New Roman"/>
          <w:b/>
          <w:bCs w:val="0"/>
          <w:color w:val="auto"/>
          <w:sz w:val="32"/>
          <w:szCs w:val="32"/>
          <w:lang w:val="en-US" w:eastAsia="zh-CN"/>
        </w:rPr>
        <w:t>2、强化创新规范</w:t>
      </w:r>
    </w:p>
    <w:p>
      <w:pPr>
        <w:spacing w:line="584" w:lineRule="exact"/>
        <w:ind w:firstLine="640" w:firstLineChars="200"/>
        <w:rPr>
          <w:rFonts w:hint="eastAsia" w:ascii="仿宋" w:hAnsi="仿宋" w:eastAsia="仿宋" w:cs="Times New Roman"/>
          <w:b w:val="0"/>
          <w:bCs/>
          <w:color w:val="auto"/>
          <w:sz w:val="32"/>
          <w:szCs w:val="32"/>
          <w:lang w:val="en-US" w:eastAsia="zh-CN"/>
        </w:rPr>
      </w:pPr>
      <w:r>
        <w:rPr>
          <w:rFonts w:hint="eastAsia" w:ascii="仿宋" w:hAnsi="仿宋" w:eastAsia="仿宋" w:cs="Times New Roman"/>
          <w:b w:val="0"/>
          <w:bCs/>
          <w:color w:val="auto"/>
          <w:sz w:val="32"/>
          <w:szCs w:val="32"/>
          <w:lang w:val="en-US" w:eastAsia="zh-CN"/>
        </w:rPr>
        <w:t>加强审计信息化建设，有效运用“总体分析、发现疑点、分散核实、系统研究”的数字化审计模式，实现对重点对象、重要领域和重点行业的实时采集与数据分析，实现对一级预算单位数据分析全覆盖，将大数据应用嵌入预算执行、自然资源、投资等审计监督全过程，提高审计效率。</w:t>
      </w:r>
    </w:p>
    <w:p>
      <w:pPr>
        <w:spacing w:line="584" w:lineRule="exact"/>
        <w:ind w:firstLine="643" w:firstLineChars="200"/>
        <w:rPr>
          <w:rFonts w:hint="eastAsia" w:ascii="仿宋" w:hAnsi="仿宋" w:eastAsia="仿宋" w:cs="Times New Roman"/>
          <w:b/>
          <w:bCs w:val="0"/>
          <w:color w:val="auto"/>
          <w:sz w:val="32"/>
          <w:szCs w:val="32"/>
          <w:lang w:val="en-US" w:eastAsia="zh-CN"/>
        </w:rPr>
      </w:pPr>
      <w:r>
        <w:rPr>
          <w:rFonts w:hint="eastAsia" w:ascii="仿宋" w:hAnsi="仿宋" w:eastAsia="仿宋" w:cs="Times New Roman"/>
          <w:b/>
          <w:bCs w:val="0"/>
          <w:color w:val="auto"/>
          <w:sz w:val="32"/>
          <w:szCs w:val="32"/>
          <w:lang w:val="en-US" w:eastAsia="zh-CN"/>
        </w:rPr>
        <w:t>3、强化法治意识</w:t>
      </w:r>
    </w:p>
    <w:p>
      <w:pPr>
        <w:spacing w:line="584" w:lineRule="exact"/>
        <w:ind w:firstLine="640" w:firstLineChars="200"/>
        <w:rPr>
          <w:rFonts w:hint="eastAsia" w:ascii="仿宋" w:hAnsi="仿宋" w:eastAsia="仿宋" w:cs="Times New Roman"/>
          <w:b w:val="0"/>
          <w:bCs/>
          <w:color w:val="auto"/>
          <w:sz w:val="32"/>
          <w:szCs w:val="32"/>
          <w:lang w:val="en-US" w:eastAsia="zh-CN"/>
        </w:rPr>
      </w:pPr>
      <w:r>
        <w:rPr>
          <w:rFonts w:hint="eastAsia" w:ascii="仿宋" w:hAnsi="仿宋" w:eastAsia="仿宋" w:cs="Times New Roman"/>
          <w:b w:val="0"/>
          <w:bCs/>
          <w:color w:val="auto"/>
          <w:sz w:val="32"/>
          <w:szCs w:val="32"/>
          <w:lang w:val="en-US" w:eastAsia="zh-CN"/>
        </w:rPr>
        <w:t>各相关业务股室要加强审计现场管理，坚持依法依规审计，防范风险，严格落实中央八项规定及其实施细则精神，严格遵守审计“八不准”工作纪律和审计“四严禁”工作要求。审计组组长要对各项审计纪律的执行情况负总责，审计人员要做到坚持原则，秉公执法，求真务实，文明审计，树立审计人员良好的职业形象。</w:t>
      </w:r>
    </w:p>
    <w:p>
      <w:pPr>
        <w:spacing w:line="584" w:lineRule="exact"/>
        <w:ind w:firstLine="643" w:firstLineChars="200"/>
        <w:rPr>
          <w:rFonts w:hint="eastAsia" w:ascii="仿宋" w:hAnsi="仿宋" w:eastAsia="仿宋" w:cs="Times New Roman"/>
          <w:b/>
          <w:bCs w:val="0"/>
          <w:color w:val="auto"/>
          <w:sz w:val="32"/>
          <w:szCs w:val="32"/>
          <w:lang w:val="en-US" w:eastAsia="zh-CN"/>
        </w:rPr>
      </w:pPr>
      <w:r>
        <w:rPr>
          <w:rFonts w:hint="eastAsia" w:ascii="仿宋" w:hAnsi="仿宋" w:eastAsia="仿宋" w:cs="Times New Roman"/>
          <w:b/>
          <w:bCs w:val="0"/>
          <w:color w:val="auto"/>
          <w:sz w:val="32"/>
          <w:szCs w:val="32"/>
          <w:lang w:val="en-US" w:eastAsia="zh-CN"/>
        </w:rPr>
        <w:t>4、强化结果运用</w:t>
      </w:r>
    </w:p>
    <w:p>
      <w:pPr>
        <w:spacing w:line="584" w:lineRule="exact"/>
        <w:ind w:firstLine="640" w:firstLineChars="200"/>
        <w:rPr>
          <w:rFonts w:hint="eastAsia" w:ascii="仿宋" w:hAnsi="仿宋" w:eastAsia="仿宋" w:cs="Times New Roman"/>
          <w:b w:val="0"/>
          <w:bCs/>
          <w:color w:val="auto"/>
          <w:sz w:val="32"/>
          <w:szCs w:val="32"/>
          <w:lang w:val="en-US" w:eastAsia="zh-CN"/>
        </w:rPr>
      </w:pPr>
      <w:r>
        <w:rPr>
          <w:rFonts w:hint="eastAsia" w:ascii="仿宋" w:hAnsi="仿宋" w:eastAsia="仿宋" w:cs="Times New Roman"/>
          <w:b w:val="0"/>
          <w:bCs/>
          <w:color w:val="auto"/>
          <w:sz w:val="32"/>
          <w:szCs w:val="32"/>
          <w:lang w:val="en-US" w:eastAsia="zh-CN"/>
        </w:rPr>
        <w:t>对审计查出的问题，严格落实记账销账制度，逐项逐条摆列清单，详细说明问题表现、违规性质、法规依据、整改要求和时限等要素，提出整改意见要科学合理、分类施策。明确被审计单位整改主体责任，严格对账销号，对整改情况及时组织“回头看”，确保审计整改工作取得实效。对具有普遍性、倾向性和苗头性的问题，深入分析可能存在的体制性障碍、机制性缺陷及制度性漏洞，促进加强管理、完善制度。</w:t>
      </w:r>
    </w:p>
    <w:p>
      <w:pPr>
        <w:spacing w:line="584" w:lineRule="exact"/>
        <w:ind w:firstLine="643" w:firstLineChars="200"/>
        <w:rPr>
          <w:rFonts w:hint="eastAsia" w:ascii="仿宋_GB2312" w:eastAsia="仿宋_GB2312" w:cs="Times New Roman"/>
          <w:color w:val="0000FF"/>
          <w:sz w:val="32"/>
          <w:szCs w:val="32"/>
          <w:lang w:val="en-US" w:eastAsia="zh-CN"/>
        </w:rPr>
      </w:pPr>
      <w:r>
        <w:rPr>
          <w:rFonts w:hint="eastAsia" w:ascii="楷体" w:hAnsi="楷体" w:eastAsia="楷体" w:cs="Times New Roman"/>
          <w:b/>
          <w:color w:val="auto"/>
          <w:sz w:val="32"/>
          <w:szCs w:val="32"/>
        </w:rPr>
        <w:t>（四）部门整体支出绩效指标</w:t>
      </w:r>
      <w:r>
        <w:rPr>
          <w:rFonts w:hint="eastAsia" w:ascii="仿宋_GB2312" w:eastAsia="仿宋_GB2312" w:cs="Times New Roman"/>
          <w:color w:val="0000FF"/>
          <w:sz w:val="32"/>
          <w:szCs w:val="32"/>
          <w:lang w:val="en-US" w:eastAsia="zh-CN"/>
        </w:rPr>
        <w:t xml:space="preserve"> </w:t>
      </w:r>
    </w:p>
    <w:tbl>
      <w:tblPr>
        <w:tblStyle w:val="8"/>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00"/>
        <w:gridCol w:w="900"/>
        <w:gridCol w:w="1280"/>
        <w:gridCol w:w="922"/>
        <w:gridCol w:w="1542"/>
        <w:gridCol w:w="839"/>
        <w:gridCol w:w="688"/>
        <w:gridCol w:w="1480"/>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绩效指标描述（指标内容）</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评（扣）分标准</w:t>
            </w:r>
          </w:p>
        </w:tc>
        <w:tc>
          <w:tcPr>
            <w:tcW w:w="300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1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单位（文字描述）</w:t>
            </w:r>
          </w:p>
        </w:tc>
        <w:tc>
          <w:tcPr>
            <w:tcW w:w="11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完成数据采集数量</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年度内应完成数据采集数量</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审计覆盖率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预算单位审计业务覆盖率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租赁面积</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办公用房租赁面积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2105</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平方米</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互联网专线维护数量</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互联网专线维护数量</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审计项目数量</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年度内计划审计项目数量</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达到目标值得满分，目标值每减少1%，扣减1%权重分，目标值低于60%不得分。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采集数据合格率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采集数据完成合格数量占总数量的比率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数据采集标准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办公用房质量合格率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租赁办公用房质量情况</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网络运行系统正常运转率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正常使用天数占总天数的比例</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运维合同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问题回查率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问题回查数量占发现问题数量之比</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达到目标值得满分，目标值每增加1%，扣减1%权重分，高于目标值60%不得分。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数据采集完成时间</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数据采集完成时间</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办公用房租赁时间</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办公用房租赁时间</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个月</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故障维护及时率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故障维护及时率=及时维护故障的数量/总故障数量×100%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年度审计任务按时完成率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反映是否按时完成审计任务</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达到目标值得满分，目标值每增加1%，扣减1%权重分，低于目标值60%不得分。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平均成本控制率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实际平均成本与预期成本比率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实际支出的平均成本数≤预算安排的成本，得权重分的100%，否则不得分。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资金使用计划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保障审计工作效率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预算单位审计数据提取工作效率显著提升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效果显著得满分，效果一般得50%权重分，效果不显著不得分。</w:t>
            </w:r>
          </w:p>
        </w:tc>
        <w:tc>
          <w:tcPr>
            <w:tcW w:w="300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工作运转率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正常开展工作的天数占总天数的比例</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正常工作开展率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正常使用天数占总天数的比例</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达到目标值得满分，目标值每减少1%，扣减1%权重分，低于60%不得分。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审计建议采纳率</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被采纳的审计建议占全部审计建议的比率</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达到目标值得满分，目标值每增加1%，扣减1%权重分，低于目标值60%不得分。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人民群众的满意程度</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满意率每下降5%扣减分值10%，满意率低于60%得0分。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历史数据</w:t>
            </w:r>
          </w:p>
        </w:tc>
      </w:tr>
    </w:tbl>
    <w:p>
      <w:pPr>
        <w:numPr>
          <w:ilvl w:val="0"/>
          <w:numId w:val="0"/>
        </w:numPr>
        <w:spacing w:line="584" w:lineRule="exact"/>
        <w:ind w:firstLine="640" w:firstLineChars="200"/>
        <w:rPr>
          <w:rFonts w:hint="eastAsia" w:ascii="仿宋_GB2312" w:eastAsia="仿宋_GB2312" w:cs="Times New Roman"/>
          <w:color w:val="0000FF"/>
          <w:sz w:val="32"/>
          <w:szCs w:val="32"/>
          <w:lang w:val="en-US" w:eastAsia="zh-CN"/>
        </w:rPr>
      </w:pPr>
    </w:p>
    <w:p>
      <w:pPr>
        <w:numPr>
          <w:ilvl w:val="0"/>
          <w:numId w:val="0"/>
        </w:numPr>
        <w:spacing w:line="584" w:lineRule="exact"/>
        <w:ind w:firstLine="640" w:firstLineChars="200"/>
        <w:rPr>
          <w:rFonts w:hint="eastAsia" w:ascii="仿宋_GB2312" w:eastAsia="仿宋_GB2312" w:cs="Times New Roman"/>
          <w:color w:val="0000FF"/>
          <w:sz w:val="32"/>
          <w:szCs w:val="32"/>
          <w:lang w:val="en-US" w:eastAsia="zh-CN"/>
        </w:rPr>
      </w:pPr>
    </w:p>
    <w:p>
      <w:pPr>
        <w:numPr>
          <w:ilvl w:val="0"/>
          <w:numId w:val="0"/>
        </w:numPr>
        <w:spacing w:line="584" w:lineRule="exact"/>
        <w:ind w:firstLine="640" w:firstLineChars="200"/>
        <w:rPr>
          <w:rFonts w:hint="eastAsia" w:ascii="仿宋_GB2312" w:eastAsia="仿宋_GB2312" w:cs="Times New Roman"/>
          <w:color w:val="0000FF"/>
          <w:sz w:val="32"/>
          <w:szCs w:val="32"/>
          <w:lang w:val="en-US" w:eastAsia="zh-CN"/>
        </w:rPr>
      </w:pPr>
    </w:p>
    <w:p>
      <w:pPr>
        <w:numPr>
          <w:ilvl w:val="0"/>
          <w:numId w:val="0"/>
        </w:numPr>
        <w:spacing w:line="584" w:lineRule="exact"/>
        <w:ind w:firstLine="640" w:firstLineChars="200"/>
        <w:rPr>
          <w:rFonts w:hint="eastAsia" w:ascii="仿宋_GB2312" w:eastAsia="仿宋_GB2312" w:cs="Times New Roman"/>
          <w:color w:val="0000FF"/>
          <w:sz w:val="32"/>
          <w:szCs w:val="32"/>
          <w:lang w:val="en-US" w:eastAsia="zh-CN"/>
        </w:rPr>
      </w:pPr>
    </w:p>
    <w:p>
      <w:pPr>
        <w:numPr>
          <w:ilvl w:val="0"/>
          <w:numId w:val="0"/>
        </w:numPr>
        <w:spacing w:line="584" w:lineRule="exact"/>
        <w:ind w:firstLine="640" w:firstLineChars="200"/>
        <w:rPr>
          <w:rFonts w:hint="eastAsia" w:ascii="Times New Roman" w:hAnsi="Times New Roman" w:eastAsia="黑体" w:cs="Times New Roman"/>
          <w:color w:val="0000FF"/>
          <w:sz w:val="32"/>
          <w:szCs w:val="32"/>
          <w:lang w:val="en-US" w:eastAsia="zh-CN"/>
        </w:rPr>
      </w:pPr>
    </w:p>
    <w:p>
      <w:pPr>
        <w:numPr>
          <w:ilvl w:val="0"/>
          <w:numId w:val="0"/>
        </w:numPr>
        <w:spacing w:line="584" w:lineRule="exact"/>
        <w:ind w:firstLine="640" w:firstLineChars="200"/>
        <w:rPr>
          <w:rFonts w:hint="eastAsia" w:ascii="Times New Roman" w:hAnsi="Times New Roman" w:eastAsia="黑体" w:cs="Times New Roman"/>
          <w:color w:val="0000FF"/>
          <w:sz w:val="32"/>
          <w:szCs w:val="32"/>
          <w:lang w:val="en-US" w:eastAsia="zh-CN"/>
        </w:rPr>
      </w:pPr>
    </w:p>
    <w:p>
      <w:pPr>
        <w:numPr>
          <w:ilvl w:val="0"/>
          <w:numId w:val="0"/>
        </w:numPr>
        <w:spacing w:line="584" w:lineRule="exact"/>
        <w:ind w:firstLine="640" w:firstLineChars="200"/>
        <w:rPr>
          <w:rFonts w:hint="eastAsia"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 xml:space="preserve">第二部分 </w:t>
      </w:r>
      <w:r>
        <w:rPr>
          <w:rFonts w:hint="eastAsia" w:ascii="Times New Roman" w:hAnsi="Times New Roman" w:eastAsia="黑体" w:cs="Times New Roman"/>
          <w:color w:val="auto"/>
          <w:sz w:val="32"/>
          <w:szCs w:val="32"/>
        </w:rPr>
        <w:t>资金绩效目标</w:t>
      </w:r>
    </w:p>
    <w:p>
      <w:pPr>
        <w:ind w:firstLine="560"/>
        <w:outlineLvl w:val="3"/>
        <w:rPr>
          <w:rFonts w:ascii="方正仿宋_GBK" w:hAnsi="方正仿宋_GBK" w:eastAsia="方正仿宋_GBK" w:cs="方正仿宋_GBK"/>
          <w:color w:val="000000"/>
          <w:sz w:val="28"/>
        </w:rPr>
      </w:pPr>
      <w:bookmarkStart w:id="0" w:name="_Toc29799657"/>
      <w:bookmarkEnd w:id="0"/>
      <w:bookmarkStart w:id="1" w:name="_Toc_4_4_0000000004"/>
    </w:p>
    <w:p>
      <w:pPr>
        <w:ind w:firstLine="1862" w:firstLineChars="665"/>
        <w:outlineLvl w:val="3"/>
      </w:pPr>
      <w:r>
        <w:rPr>
          <w:rFonts w:ascii="方正仿宋_GBK" w:hAnsi="方正仿宋_GBK" w:eastAsia="方正仿宋_GBK" w:cs="方正仿宋_GBK"/>
          <w:color w:val="000000"/>
          <w:sz w:val="28"/>
        </w:rPr>
        <w:t>1.房屋租赁费绩效目标表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13102823P00279310602A</w:t>
            </w:r>
          </w:p>
        </w:tc>
        <w:tc>
          <w:tcPr>
            <w:tcW w:w="1587" w:type="dxa"/>
            <w:vAlign w:val="center"/>
          </w:tcPr>
          <w:p>
            <w:pPr>
              <w:pStyle w:val="12"/>
            </w:pPr>
            <w:r>
              <w:t>项目名称</w:t>
            </w:r>
          </w:p>
        </w:tc>
        <w:tc>
          <w:tcPr>
            <w:tcW w:w="4422" w:type="dxa"/>
            <w:gridSpan w:val="3"/>
            <w:vAlign w:val="center"/>
          </w:tcPr>
          <w:p>
            <w:pPr>
              <w:pStyle w:val="13"/>
            </w:pPr>
            <w:r>
              <w:t>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60000.00</w:t>
            </w:r>
          </w:p>
        </w:tc>
        <w:tc>
          <w:tcPr>
            <w:tcW w:w="1587" w:type="dxa"/>
            <w:vAlign w:val="center"/>
          </w:tcPr>
          <w:p>
            <w:pPr>
              <w:pStyle w:val="12"/>
            </w:pPr>
            <w:r>
              <w:t>其中：财政    资金</w:t>
            </w:r>
          </w:p>
        </w:tc>
        <w:tc>
          <w:tcPr>
            <w:tcW w:w="1304" w:type="dxa"/>
            <w:vAlign w:val="center"/>
          </w:tcPr>
          <w:p>
            <w:pPr>
              <w:pStyle w:val="13"/>
            </w:pPr>
            <w:r>
              <w:t>60000.00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用于支付单位房屋租赁费。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通过租赁办公用房，解决办公场所问题，保障审计工作的正常开展。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租赁面积</w:t>
            </w:r>
          </w:p>
        </w:tc>
        <w:tc>
          <w:tcPr>
            <w:tcW w:w="2891" w:type="dxa"/>
            <w:vAlign w:val="center"/>
          </w:tcPr>
          <w:p>
            <w:pPr>
              <w:pStyle w:val="13"/>
            </w:pPr>
            <w:r>
              <w:t>办公用房租赁面积</w:t>
            </w:r>
          </w:p>
        </w:tc>
        <w:tc>
          <w:tcPr>
            <w:tcW w:w="1276" w:type="dxa"/>
            <w:vAlign w:val="center"/>
          </w:tcPr>
          <w:p>
            <w:pPr>
              <w:pStyle w:val="13"/>
            </w:pPr>
            <w:r>
              <w:t>=2105平方米</w:t>
            </w:r>
          </w:p>
        </w:tc>
        <w:tc>
          <w:tcPr>
            <w:tcW w:w="1843"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办公用房质量合格率</w:t>
            </w:r>
          </w:p>
        </w:tc>
        <w:tc>
          <w:tcPr>
            <w:tcW w:w="2891" w:type="dxa"/>
            <w:vAlign w:val="center"/>
          </w:tcPr>
          <w:p>
            <w:pPr>
              <w:pStyle w:val="13"/>
            </w:pPr>
            <w:r>
              <w:t>租赁办公用房质量情况</w:t>
            </w:r>
          </w:p>
        </w:tc>
        <w:tc>
          <w:tcPr>
            <w:tcW w:w="1276" w:type="dxa"/>
            <w:vAlign w:val="center"/>
          </w:tcPr>
          <w:p>
            <w:pPr>
              <w:pStyle w:val="13"/>
            </w:pPr>
            <w:r>
              <w:t>=100%</w:t>
            </w:r>
          </w:p>
        </w:tc>
        <w:tc>
          <w:tcPr>
            <w:tcW w:w="1843"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办公用房租赁时间</w:t>
            </w:r>
          </w:p>
        </w:tc>
        <w:tc>
          <w:tcPr>
            <w:tcW w:w="2891" w:type="dxa"/>
            <w:vAlign w:val="center"/>
          </w:tcPr>
          <w:p>
            <w:pPr>
              <w:pStyle w:val="13"/>
            </w:pPr>
            <w:r>
              <w:t>办公用房租赁时间</w:t>
            </w:r>
          </w:p>
        </w:tc>
        <w:tc>
          <w:tcPr>
            <w:tcW w:w="1276" w:type="dxa"/>
            <w:vAlign w:val="center"/>
          </w:tcPr>
          <w:p>
            <w:pPr>
              <w:pStyle w:val="13"/>
            </w:pPr>
            <w:r>
              <w:t>=12个月</w:t>
            </w:r>
          </w:p>
        </w:tc>
        <w:tc>
          <w:tcPr>
            <w:tcW w:w="1843"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rPr>
                <w:rFonts w:hint="default" w:eastAsia="方正书宋_GBK"/>
                <w:lang w:val="en-US" w:eastAsia="zh-Hans"/>
              </w:rPr>
            </w:pPr>
            <w:r>
              <w:t>年度租赁</w:t>
            </w:r>
            <w:r>
              <w:rPr>
                <w:rFonts w:hint="eastAsia"/>
                <w:lang w:val="en-US" w:eastAsia="zh-Hans"/>
              </w:rPr>
              <w:t>成本控制数</w:t>
            </w:r>
          </w:p>
        </w:tc>
        <w:tc>
          <w:tcPr>
            <w:tcW w:w="2891" w:type="dxa"/>
            <w:vAlign w:val="center"/>
          </w:tcPr>
          <w:p>
            <w:pPr>
              <w:pStyle w:val="13"/>
            </w:pPr>
            <w:r>
              <w:t>单位面积办公用房年度租赁费</w:t>
            </w:r>
          </w:p>
        </w:tc>
        <w:tc>
          <w:tcPr>
            <w:tcW w:w="1276" w:type="dxa"/>
            <w:vAlign w:val="center"/>
          </w:tcPr>
          <w:p>
            <w:pPr>
              <w:pStyle w:val="13"/>
            </w:pPr>
            <w:r>
              <w:t>≤60000元</w:t>
            </w:r>
          </w:p>
        </w:tc>
        <w:tc>
          <w:tcPr>
            <w:tcW w:w="1843"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工作运转率</w:t>
            </w:r>
          </w:p>
        </w:tc>
        <w:tc>
          <w:tcPr>
            <w:tcW w:w="2891" w:type="dxa"/>
            <w:vAlign w:val="center"/>
          </w:tcPr>
          <w:p>
            <w:pPr>
              <w:pStyle w:val="13"/>
            </w:pPr>
            <w:r>
              <w:t>正常开展工作的天数占总天数的比例</w:t>
            </w:r>
          </w:p>
        </w:tc>
        <w:tc>
          <w:tcPr>
            <w:tcW w:w="1276" w:type="dxa"/>
            <w:vAlign w:val="center"/>
          </w:tcPr>
          <w:p>
            <w:pPr>
              <w:pStyle w:val="13"/>
            </w:pPr>
            <w:r>
              <w:t>=100%</w:t>
            </w:r>
          </w:p>
        </w:tc>
        <w:tc>
          <w:tcPr>
            <w:tcW w:w="1843"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使用人员满意度</w:t>
            </w:r>
          </w:p>
        </w:tc>
        <w:tc>
          <w:tcPr>
            <w:tcW w:w="2891" w:type="dxa"/>
            <w:vAlign w:val="center"/>
          </w:tcPr>
          <w:p>
            <w:pPr>
              <w:pStyle w:val="13"/>
            </w:pPr>
            <w:r>
              <w:t>使用人员满意度</w:t>
            </w:r>
          </w:p>
        </w:tc>
        <w:tc>
          <w:tcPr>
            <w:tcW w:w="1276" w:type="dxa"/>
            <w:vAlign w:val="center"/>
          </w:tcPr>
          <w:p>
            <w:pPr>
              <w:pStyle w:val="13"/>
            </w:pPr>
            <w:r>
              <w:t>≥98%</w:t>
            </w:r>
          </w:p>
        </w:tc>
        <w:tc>
          <w:tcPr>
            <w:tcW w:w="1843" w:type="dxa"/>
            <w:vAlign w:val="center"/>
          </w:tcPr>
          <w:p>
            <w:pPr>
              <w:pStyle w:val="13"/>
            </w:pPr>
            <w:r>
              <w:rPr>
                <w:rFonts w:hint="eastAsia"/>
                <w:lang w:eastAsia="zh-CN"/>
              </w:rPr>
              <w:t>历史数据</w:t>
            </w:r>
            <w:r>
              <w:t>问卷调查</w:t>
            </w:r>
          </w:p>
        </w:tc>
      </w:tr>
    </w:tbl>
    <w:p>
      <w:pPr>
        <w:sectPr>
          <w:pgSz w:w="16840" w:h="11900" w:orient="landscape"/>
          <w:pgMar w:top="1304" w:right="1984" w:bottom="1304" w:left="1134" w:header="720" w:footer="720" w:gutter="0"/>
          <w:cols w:space="720" w:num="1"/>
        </w:sectPr>
      </w:pPr>
    </w:p>
    <w:p>
      <w:pPr>
        <w:ind w:firstLine="1862" w:firstLineChars="665"/>
        <w:outlineLvl w:val="3"/>
      </w:pPr>
      <w:r>
        <w:rPr>
          <w:rFonts w:ascii="方正仿宋_GBK" w:hAnsi="方正仿宋_GBK" w:eastAsia="方正仿宋_GBK" w:cs="方正仿宋_GBK"/>
          <w:color w:val="000000"/>
          <w:sz w:val="28"/>
        </w:rPr>
        <w:t>2.网络运行维护费绩效目标表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13102823P00279310603X</w:t>
            </w:r>
          </w:p>
        </w:tc>
        <w:tc>
          <w:tcPr>
            <w:tcW w:w="1587" w:type="dxa"/>
            <w:vAlign w:val="center"/>
          </w:tcPr>
          <w:p>
            <w:pPr>
              <w:pStyle w:val="12"/>
            </w:pPr>
            <w:r>
              <w:t>项目名称</w:t>
            </w:r>
          </w:p>
        </w:tc>
        <w:tc>
          <w:tcPr>
            <w:tcW w:w="4422" w:type="dxa"/>
            <w:gridSpan w:val="3"/>
            <w:vAlign w:val="center"/>
          </w:tcPr>
          <w:p>
            <w:pPr>
              <w:pStyle w:val="13"/>
            </w:pPr>
            <w:r>
              <w:t>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60000.00</w:t>
            </w:r>
          </w:p>
        </w:tc>
        <w:tc>
          <w:tcPr>
            <w:tcW w:w="1587" w:type="dxa"/>
            <w:vAlign w:val="center"/>
          </w:tcPr>
          <w:p>
            <w:pPr>
              <w:pStyle w:val="12"/>
            </w:pPr>
            <w:r>
              <w:t>其中：财政    资金</w:t>
            </w:r>
          </w:p>
        </w:tc>
        <w:tc>
          <w:tcPr>
            <w:tcW w:w="1304" w:type="dxa"/>
            <w:vAlign w:val="center"/>
          </w:tcPr>
          <w:p>
            <w:pPr>
              <w:pStyle w:val="13"/>
            </w:pPr>
            <w:r>
              <w:t>60000.00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用于支付网络运行维护费。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 xml:space="preserve"> </w:t>
            </w:r>
          </w:p>
        </w:tc>
        <w:tc>
          <w:tcPr>
            <w:tcW w:w="1304" w:type="dxa"/>
            <w:vAlign w:val="center"/>
          </w:tcPr>
          <w:p>
            <w:pPr>
              <w:pStyle w:val="14"/>
            </w:pPr>
            <w:r>
              <w:t xml:space="preserve"> </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通过网络系统的运行维护，保障审计工作的正常开展。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互联网专线维护数量</w:t>
            </w:r>
          </w:p>
        </w:tc>
        <w:tc>
          <w:tcPr>
            <w:tcW w:w="2891" w:type="dxa"/>
            <w:vAlign w:val="center"/>
          </w:tcPr>
          <w:p>
            <w:pPr>
              <w:pStyle w:val="13"/>
            </w:pPr>
            <w:r>
              <w:t>互联网专线维护数量</w:t>
            </w:r>
          </w:p>
        </w:tc>
        <w:tc>
          <w:tcPr>
            <w:tcW w:w="1276" w:type="dxa"/>
            <w:vAlign w:val="center"/>
          </w:tcPr>
          <w:p>
            <w:pPr>
              <w:pStyle w:val="13"/>
            </w:pPr>
            <w:r>
              <w:t>=1条</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网络运行系统正常运转率</w:t>
            </w:r>
          </w:p>
        </w:tc>
        <w:tc>
          <w:tcPr>
            <w:tcW w:w="2891" w:type="dxa"/>
            <w:vAlign w:val="center"/>
          </w:tcPr>
          <w:p>
            <w:pPr>
              <w:pStyle w:val="13"/>
            </w:pPr>
            <w:r>
              <w:t>正常使用天数占总天数的比例</w:t>
            </w:r>
          </w:p>
        </w:tc>
        <w:tc>
          <w:tcPr>
            <w:tcW w:w="1276" w:type="dxa"/>
            <w:vAlign w:val="center"/>
          </w:tcPr>
          <w:p>
            <w:pPr>
              <w:pStyle w:val="13"/>
            </w:pPr>
            <w:r>
              <w:t>=100%</w:t>
            </w:r>
          </w:p>
        </w:tc>
        <w:tc>
          <w:tcPr>
            <w:tcW w:w="1843" w:type="dxa"/>
            <w:vAlign w:val="center"/>
          </w:tcPr>
          <w:p>
            <w:pPr>
              <w:pStyle w:val="13"/>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故障维护及时率</w:t>
            </w:r>
          </w:p>
        </w:tc>
        <w:tc>
          <w:tcPr>
            <w:tcW w:w="2891" w:type="dxa"/>
            <w:vAlign w:val="center"/>
          </w:tcPr>
          <w:p>
            <w:pPr>
              <w:pStyle w:val="13"/>
            </w:pPr>
            <w:r>
              <w:t>故障维护及时率=及时维护故障的数量/总故障数量×100%</w:t>
            </w:r>
          </w:p>
        </w:tc>
        <w:tc>
          <w:tcPr>
            <w:tcW w:w="1276" w:type="dxa"/>
            <w:vAlign w:val="center"/>
          </w:tcPr>
          <w:p>
            <w:pPr>
              <w:pStyle w:val="13"/>
            </w:pPr>
            <w:r>
              <w:t>=100%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rPr>
                <w:rFonts w:hint="eastAsia" w:eastAsia="方正书宋_GBK"/>
                <w:lang w:val="en-US" w:eastAsia="zh-Hans"/>
              </w:rPr>
            </w:pPr>
            <w:r>
              <w:t>网费成本</w:t>
            </w:r>
            <w:r>
              <w:rPr>
                <w:rFonts w:hint="eastAsia"/>
                <w:lang w:val="en-US" w:eastAsia="zh-Hans"/>
              </w:rPr>
              <w:t>控制数</w:t>
            </w:r>
          </w:p>
        </w:tc>
        <w:tc>
          <w:tcPr>
            <w:tcW w:w="2891" w:type="dxa"/>
            <w:vAlign w:val="center"/>
          </w:tcPr>
          <w:p>
            <w:pPr>
              <w:pStyle w:val="13"/>
              <w:rPr>
                <w:rFonts w:hint="eastAsia" w:eastAsia="方正书宋_GBK"/>
                <w:lang w:eastAsia="zh-Hans"/>
              </w:rPr>
            </w:pPr>
            <w:r>
              <w:t>网络运行维护费年度</w:t>
            </w:r>
            <w:r>
              <w:rPr>
                <w:rFonts w:hint="eastAsia"/>
                <w:lang w:val="en-US" w:eastAsia="zh-Hans"/>
              </w:rPr>
              <w:t>成本</w:t>
            </w:r>
          </w:p>
        </w:tc>
        <w:tc>
          <w:tcPr>
            <w:tcW w:w="1276" w:type="dxa"/>
            <w:vAlign w:val="center"/>
          </w:tcPr>
          <w:p>
            <w:pPr>
              <w:pStyle w:val="13"/>
            </w:pPr>
            <w:r>
              <w:t>=6</w:t>
            </w:r>
            <w:r>
              <w:rPr>
                <w:rFonts w:hint="eastAsia"/>
                <w:lang w:eastAsia="zh-CN"/>
              </w:rPr>
              <w:t>0</w:t>
            </w:r>
            <w:r>
              <w:rPr>
                <w:lang w:eastAsia="zh-CN"/>
              </w:rPr>
              <w:t>000</w:t>
            </w:r>
            <w:r>
              <w:t>元</w:t>
            </w:r>
          </w:p>
        </w:tc>
        <w:tc>
          <w:tcPr>
            <w:tcW w:w="1843"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正常工作开展率</w:t>
            </w:r>
          </w:p>
        </w:tc>
        <w:tc>
          <w:tcPr>
            <w:tcW w:w="2891" w:type="dxa"/>
            <w:vAlign w:val="center"/>
          </w:tcPr>
          <w:p>
            <w:pPr>
              <w:pStyle w:val="13"/>
            </w:pPr>
            <w:r>
              <w:t>正常使用天数占总天数的比例</w:t>
            </w:r>
          </w:p>
        </w:tc>
        <w:tc>
          <w:tcPr>
            <w:tcW w:w="1276" w:type="dxa"/>
            <w:vAlign w:val="center"/>
          </w:tcPr>
          <w:p>
            <w:pPr>
              <w:pStyle w:val="13"/>
            </w:pPr>
            <w:r>
              <w:t>=100%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使用人员满意度</w:t>
            </w:r>
          </w:p>
        </w:tc>
        <w:tc>
          <w:tcPr>
            <w:tcW w:w="2891" w:type="dxa"/>
            <w:vAlign w:val="center"/>
          </w:tcPr>
          <w:p>
            <w:pPr>
              <w:pStyle w:val="13"/>
            </w:pPr>
            <w:r>
              <w:t>使用人员满意度</w:t>
            </w:r>
          </w:p>
        </w:tc>
        <w:tc>
          <w:tcPr>
            <w:tcW w:w="1276" w:type="dxa"/>
            <w:vAlign w:val="center"/>
          </w:tcPr>
          <w:p>
            <w:pPr>
              <w:pStyle w:val="13"/>
            </w:pPr>
            <w:r>
              <w:t>≥98%</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862" w:firstLineChars="665"/>
        <w:outlineLvl w:val="3"/>
      </w:pPr>
      <w:r>
        <w:rPr>
          <w:rFonts w:ascii="方正仿宋_GBK" w:hAnsi="方正仿宋_GBK" w:eastAsia="方正仿宋_GBK" w:cs="方正仿宋_GBK"/>
          <w:color w:val="000000"/>
          <w:sz w:val="28"/>
        </w:rPr>
        <w:t>3.一级预算单位财务数据采集、分析费绩效目标表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13102823P002793105995</w:t>
            </w:r>
          </w:p>
        </w:tc>
        <w:tc>
          <w:tcPr>
            <w:tcW w:w="1587" w:type="dxa"/>
            <w:vAlign w:val="center"/>
          </w:tcPr>
          <w:p>
            <w:pPr>
              <w:pStyle w:val="12"/>
            </w:pPr>
            <w:r>
              <w:t>项目名称</w:t>
            </w:r>
          </w:p>
        </w:tc>
        <w:tc>
          <w:tcPr>
            <w:tcW w:w="4422" w:type="dxa"/>
            <w:gridSpan w:val="3"/>
            <w:vAlign w:val="center"/>
          </w:tcPr>
          <w:p>
            <w:pPr>
              <w:pStyle w:val="13"/>
            </w:pPr>
            <w:r>
              <w:t>一级预算单位财务数据采集、分析费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50000.00</w:t>
            </w:r>
          </w:p>
        </w:tc>
        <w:tc>
          <w:tcPr>
            <w:tcW w:w="1587" w:type="dxa"/>
            <w:vAlign w:val="center"/>
          </w:tcPr>
          <w:p>
            <w:pPr>
              <w:pStyle w:val="12"/>
            </w:pPr>
            <w:r>
              <w:t>其中：财政    资金</w:t>
            </w:r>
          </w:p>
        </w:tc>
        <w:tc>
          <w:tcPr>
            <w:tcW w:w="1304" w:type="dxa"/>
            <w:vAlign w:val="center"/>
          </w:tcPr>
          <w:p>
            <w:pPr>
              <w:pStyle w:val="13"/>
            </w:pPr>
            <w:r>
              <w:t>50000.00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预算数5万元，其中：财政资金5万元，积极推进财政一级预算单位审计全覆盖工作开展。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 xml:space="preserve"> </w:t>
            </w:r>
          </w:p>
        </w:tc>
        <w:tc>
          <w:tcPr>
            <w:tcW w:w="1587" w:type="dxa"/>
            <w:vAlign w:val="center"/>
          </w:tcPr>
          <w:p>
            <w:pPr>
              <w:pStyle w:val="14"/>
            </w:pPr>
            <w:r>
              <w:t>100%</w:t>
            </w:r>
          </w:p>
        </w:tc>
        <w:tc>
          <w:tcPr>
            <w:tcW w:w="1304" w:type="dxa"/>
            <w:vAlign w:val="center"/>
          </w:tcPr>
          <w:p>
            <w:pPr>
              <w:pStyle w:val="14"/>
            </w:pPr>
            <w:r>
              <w:t xml:space="preserve"> 100%</w:t>
            </w:r>
          </w:p>
        </w:tc>
        <w:tc>
          <w:tcPr>
            <w:tcW w:w="3118" w:type="dxa"/>
            <w:gridSpan w:val="2"/>
            <w:vAlign w:val="center"/>
          </w:tcPr>
          <w:p>
            <w:pPr>
              <w:pStyle w:val="14"/>
            </w:pPr>
            <w:r>
              <w:t xml:space="preserve">100%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1.通过运用信息化手段采集数据信息，完成预算单位的审计全覆盖，保障预算单位审计数据提取工作效率得到提升。通过此项目的实施，可以全面掌握本级一级预算单位预算执行的整体情况，实现重点问题批量审计，全面覆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完成数据采集数量</w:t>
            </w:r>
          </w:p>
        </w:tc>
        <w:tc>
          <w:tcPr>
            <w:tcW w:w="2891" w:type="dxa"/>
            <w:vAlign w:val="center"/>
          </w:tcPr>
          <w:p>
            <w:pPr>
              <w:pStyle w:val="13"/>
            </w:pPr>
            <w:r>
              <w:t xml:space="preserve"> 年度内应完成数据采集数量</w:t>
            </w:r>
          </w:p>
        </w:tc>
        <w:tc>
          <w:tcPr>
            <w:tcW w:w="1276" w:type="dxa"/>
            <w:vAlign w:val="center"/>
          </w:tcPr>
          <w:p>
            <w:pPr>
              <w:pStyle w:val="13"/>
            </w:pPr>
            <w:r>
              <w:t>≥60个</w:t>
            </w:r>
          </w:p>
        </w:tc>
        <w:tc>
          <w:tcPr>
            <w:tcW w:w="1843"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审计覆盖率</w:t>
            </w:r>
          </w:p>
        </w:tc>
        <w:tc>
          <w:tcPr>
            <w:tcW w:w="2891" w:type="dxa"/>
            <w:vAlign w:val="center"/>
          </w:tcPr>
          <w:p>
            <w:pPr>
              <w:pStyle w:val="13"/>
            </w:pPr>
            <w:r>
              <w:t>预算单位审计业务覆盖率</w:t>
            </w:r>
          </w:p>
        </w:tc>
        <w:tc>
          <w:tcPr>
            <w:tcW w:w="1276" w:type="dxa"/>
            <w:vAlign w:val="center"/>
          </w:tcPr>
          <w:p>
            <w:pPr>
              <w:pStyle w:val="13"/>
            </w:pPr>
            <w:r>
              <w:t>=100%</w:t>
            </w:r>
          </w:p>
        </w:tc>
        <w:tc>
          <w:tcPr>
            <w:tcW w:w="1843"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采集数据合格率</w:t>
            </w:r>
          </w:p>
        </w:tc>
        <w:tc>
          <w:tcPr>
            <w:tcW w:w="2891" w:type="dxa"/>
            <w:vAlign w:val="center"/>
          </w:tcPr>
          <w:p>
            <w:pPr>
              <w:pStyle w:val="13"/>
            </w:pPr>
            <w:r>
              <w:t>采集数据完成合格数量占总数量的比率</w:t>
            </w:r>
          </w:p>
        </w:tc>
        <w:tc>
          <w:tcPr>
            <w:tcW w:w="1276" w:type="dxa"/>
            <w:vAlign w:val="center"/>
          </w:tcPr>
          <w:p>
            <w:pPr>
              <w:pStyle w:val="13"/>
            </w:pPr>
            <w:r>
              <w:t>=100%</w:t>
            </w:r>
          </w:p>
        </w:tc>
        <w:tc>
          <w:tcPr>
            <w:tcW w:w="1843" w:type="dxa"/>
            <w:vAlign w:val="center"/>
          </w:tcPr>
          <w:p>
            <w:pPr>
              <w:pStyle w:val="13"/>
            </w:pPr>
            <w:r>
              <w:t>数据采集标准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数据采集完成时间</w:t>
            </w:r>
          </w:p>
        </w:tc>
        <w:tc>
          <w:tcPr>
            <w:tcW w:w="2891" w:type="dxa"/>
            <w:vAlign w:val="center"/>
          </w:tcPr>
          <w:p>
            <w:pPr>
              <w:pStyle w:val="13"/>
            </w:pPr>
            <w:r>
              <w:t>数据采集完成时间</w:t>
            </w:r>
          </w:p>
        </w:tc>
        <w:tc>
          <w:tcPr>
            <w:tcW w:w="1276" w:type="dxa"/>
            <w:vAlign w:val="center"/>
          </w:tcPr>
          <w:p>
            <w:pPr>
              <w:pStyle w:val="13"/>
            </w:pPr>
            <w:r>
              <w:t>≤12月</w:t>
            </w:r>
          </w:p>
        </w:tc>
        <w:tc>
          <w:tcPr>
            <w:tcW w:w="1843"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采集数据信息单位成本</w:t>
            </w:r>
          </w:p>
        </w:tc>
        <w:tc>
          <w:tcPr>
            <w:tcW w:w="2891" w:type="dxa"/>
            <w:vAlign w:val="center"/>
          </w:tcPr>
          <w:p>
            <w:pPr>
              <w:pStyle w:val="13"/>
            </w:pPr>
            <w:r>
              <w:t>每个采集数据信息单位成本</w:t>
            </w:r>
          </w:p>
        </w:tc>
        <w:tc>
          <w:tcPr>
            <w:tcW w:w="1276" w:type="dxa"/>
            <w:vAlign w:val="center"/>
          </w:tcPr>
          <w:p>
            <w:pPr>
              <w:pStyle w:val="13"/>
            </w:pPr>
            <w:r>
              <w:t>≤944元</w:t>
            </w:r>
          </w:p>
        </w:tc>
        <w:tc>
          <w:tcPr>
            <w:tcW w:w="1843"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rPr>
                <w:rFonts w:asciiTheme="minorHAnsi" w:hAnsiTheme="minorHAnsi"/>
                <w:lang w:val="uk-UA"/>
              </w:rPr>
            </w:pPr>
            <w:r>
              <w:rPr>
                <w:rFonts w:hint="eastAsia"/>
                <w:lang w:val="en-US" w:eastAsia="zh-Hans"/>
              </w:rPr>
              <w:t>保障</w:t>
            </w:r>
            <w:r>
              <w:t>审计工作效率</w:t>
            </w:r>
          </w:p>
        </w:tc>
        <w:tc>
          <w:tcPr>
            <w:tcW w:w="2891" w:type="dxa"/>
            <w:vAlign w:val="center"/>
          </w:tcPr>
          <w:p>
            <w:pPr>
              <w:pStyle w:val="13"/>
            </w:pPr>
            <w:r>
              <w:t>预算单位审计数据提取工作效率显著提升</w:t>
            </w:r>
          </w:p>
        </w:tc>
        <w:tc>
          <w:tcPr>
            <w:tcW w:w="1276" w:type="dxa"/>
            <w:vAlign w:val="center"/>
          </w:tcPr>
          <w:p>
            <w:pPr>
              <w:pStyle w:val="13"/>
            </w:pPr>
            <w:r>
              <w:rPr>
                <w:rFonts w:hint="eastAsia"/>
                <w:lang w:eastAsia="zh-CN"/>
              </w:rPr>
              <w:t>保障</w:t>
            </w:r>
          </w:p>
        </w:tc>
        <w:tc>
          <w:tcPr>
            <w:tcW w:w="1843"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被采集数据单位员满意度</w:t>
            </w:r>
          </w:p>
        </w:tc>
        <w:tc>
          <w:tcPr>
            <w:tcW w:w="2891" w:type="dxa"/>
            <w:vAlign w:val="center"/>
          </w:tcPr>
          <w:p>
            <w:pPr>
              <w:pStyle w:val="13"/>
            </w:pPr>
            <w:r>
              <w:t>被采集数据单位员满意度</w:t>
            </w:r>
          </w:p>
        </w:tc>
        <w:tc>
          <w:tcPr>
            <w:tcW w:w="1276" w:type="dxa"/>
            <w:vAlign w:val="center"/>
          </w:tcPr>
          <w:p>
            <w:pPr>
              <w:pStyle w:val="13"/>
            </w:pPr>
            <w:r>
              <w:t>≥95%</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862" w:firstLineChars="665"/>
        <w:outlineLvl w:val="3"/>
      </w:pPr>
      <w:r>
        <w:rPr>
          <w:rFonts w:ascii="方正仿宋_GBK" w:hAnsi="方正仿宋_GBK" w:eastAsia="方正仿宋_GBK" w:cs="方正仿宋_GBK"/>
          <w:color w:val="000000"/>
          <w:sz w:val="28"/>
        </w:rPr>
        <w:t>4.厂通桥（大厂县至通州区段）桥梁工程项目跟踪审计服务中介采购项目经费绩效目标表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13102823P002809102141</w:t>
            </w:r>
          </w:p>
        </w:tc>
        <w:tc>
          <w:tcPr>
            <w:tcW w:w="1587" w:type="dxa"/>
            <w:vAlign w:val="center"/>
          </w:tcPr>
          <w:p>
            <w:pPr>
              <w:pStyle w:val="12"/>
            </w:pPr>
            <w:r>
              <w:t>项目名称</w:t>
            </w:r>
          </w:p>
        </w:tc>
        <w:tc>
          <w:tcPr>
            <w:tcW w:w="4422" w:type="dxa"/>
            <w:gridSpan w:val="3"/>
            <w:vAlign w:val="center"/>
          </w:tcPr>
          <w:p>
            <w:pPr>
              <w:pStyle w:val="13"/>
            </w:pPr>
            <w:r>
              <w:t>厂通桥（大厂县至通州区段）桥梁工程项目跟踪审计服务中介采购项目经费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200000.00</w:t>
            </w:r>
          </w:p>
        </w:tc>
        <w:tc>
          <w:tcPr>
            <w:tcW w:w="1587" w:type="dxa"/>
            <w:vAlign w:val="center"/>
          </w:tcPr>
          <w:p>
            <w:pPr>
              <w:pStyle w:val="12"/>
            </w:pPr>
            <w:r>
              <w:t>其中：财政    资金</w:t>
            </w:r>
          </w:p>
        </w:tc>
        <w:tc>
          <w:tcPr>
            <w:tcW w:w="1304" w:type="dxa"/>
            <w:vAlign w:val="center"/>
          </w:tcPr>
          <w:p>
            <w:pPr>
              <w:pStyle w:val="13"/>
            </w:pPr>
            <w:r>
              <w:t>200000.00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用于购买2023年度政府投资项目审计服务。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通过开展此项目，保障政府投资建设项目顺利推进，加强政府投资建设项目监督；促进科学决策和廉政建设，充分发挥政府投资项目的社会效益和经济效益。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审计项目数量</w:t>
            </w:r>
          </w:p>
        </w:tc>
        <w:tc>
          <w:tcPr>
            <w:tcW w:w="2891" w:type="dxa"/>
            <w:vAlign w:val="center"/>
          </w:tcPr>
          <w:p>
            <w:pPr>
              <w:pStyle w:val="13"/>
            </w:pPr>
            <w:r>
              <w:t>年度内计划审计项目数量</w:t>
            </w:r>
          </w:p>
        </w:tc>
        <w:tc>
          <w:tcPr>
            <w:tcW w:w="1276" w:type="dxa"/>
            <w:vAlign w:val="center"/>
          </w:tcPr>
          <w:p>
            <w:pPr>
              <w:pStyle w:val="13"/>
            </w:pPr>
            <w:r>
              <w:t>=1个</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问题回查率</w:t>
            </w:r>
          </w:p>
        </w:tc>
        <w:tc>
          <w:tcPr>
            <w:tcW w:w="2891" w:type="dxa"/>
            <w:vAlign w:val="center"/>
          </w:tcPr>
          <w:p>
            <w:pPr>
              <w:pStyle w:val="13"/>
            </w:pPr>
            <w:r>
              <w:t>问题回查数量占发现问题数量之比</w:t>
            </w:r>
          </w:p>
        </w:tc>
        <w:tc>
          <w:tcPr>
            <w:tcW w:w="1276" w:type="dxa"/>
            <w:vAlign w:val="center"/>
          </w:tcPr>
          <w:p>
            <w:pPr>
              <w:pStyle w:val="13"/>
            </w:pPr>
            <w:r>
              <w:t>≤5%</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年度审计任务按时完成率</w:t>
            </w:r>
          </w:p>
        </w:tc>
        <w:tc>
          <w:tcPr>
            <w:tcW w:w="2891" w:type="dxa"/>
            <w:vAlign w:val="center"/>
          </w:tcPr>
          <w:p>
            <w:pPr>
              <w:pStyle w:val="13"/>
              <w:rPr>
                <w:lang w:eastAsia="zh-CN"/>
              </w:rPr>
            </w:pPr>
            <w:r>
              <w:t>反映是否按时完成审计任务</w:t>
            </w:r>
          </w:p>
        </w:tc>
        <w:tc>
          <w:tcPr>
            <w:tcW w:w="1276" w:type="dxa"/>
            <w:vAlign w:val="center"/>
          </w:tcPr>
          <w:p>
            <w:pPr>
              <w:pStyle w:val="13"/>
            </w:pPr>
            <w:r>
              <w:rPr>
                <w:rFonts w:hint="eastAsia"/>
                <w:lang w:eastAsia="zh-CN"/>
              </w:rPr>
              <w:t>=</w:t>
            </w: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审计项目成本</w:t>
            </w:r>
            <w:r>
              <w:rPr>
                <w:rFonts w:hint="eastAsia"/>
                <w:lang w:val="en-US" w:eastAsia="zh-Hans"/>
              </w:rPr>
              <w:t>控制数</w:t>
            </w:r>
          </w:p>
        </w:tc>
        <w:tc>
          <w:tcPr>
            <w:tcW w:w="2891" w:type="dxa"/>
            <w:vAlign w:val="center"/>
          </w:tcPr>
          <w:p>
            <w:pPr>
              <w:pStyle w:val="13"/>
            </w:pPr>
            <w:r>
              <w:t>当年审计完成项目的成本</w:t>
            </w:r>
            <w:r>
              <w:rPr>
                <w:rFonts w:hint="eastAsia"/>
                <w:lang w:val="en-US" w:eastAsia="zh-Hans"/>
              </w:rPr>
              <w:t>情况</w:t>
            </w:r>
          </w:p>
        </w:tc>
        <w:tc>
          <w:tcPr>
            <w:tcW w:w="1276" w:type="dxa"/>
            <w:vAlign w:val="center"/>
          </w:tcPr>
          <w:p>
            <w:pPr>
              <w:pStyle w:val="13"/>
            </w:pPr>
            <w:r>
              <w:t>≤20</w:t>
            </w:r>
            <w:r>
              <w:rPr>
                <w:rFonts w:hint="eastAsia"/>
                <w:lang w:eastAsia="zh-CN"/>
              </w:rPr>
              <w:t>0</w:t>
            </w:r>
            <w:r>
              <w:rPr>
                <w:lang w:eastAsia="zh-CN"/>
              </w:rPr>
              <w:t>000</w:t>
            </w:r>
            <w:r>
              <w:t>元</w:t>
            </w:r>
          </w:p>
        </w:tc>
        <w:tc>
          <w:tcPr>
            <w:tcW w:w="1843"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审计建议采纳率</w:t>
            </w:r>
          </w:p>
        </w:tc>
        <w:tc>
          <w:tcPr>
            <w:tcW w:w="2891" w:type="dxa"/>
            <w:vAlign w:val="center"/>
          </w:tcPr>
          <w:p>
            <w:pPr>
              <w:pStyle w:val="13"/>
            </w:pPr>
            <w:r>
              <w:t>被采纳的审计建议占全部审计建议的比率</w:t>
            </w:r>
          </w:p>
        </w:tc>
        <w:tc>
          <w:tcPr>
            <w:tcW w:w="1276" w:type="dxa"/>
            <w:vAlign w:val="center"/>
          </w:tcPr>
          <w:p>
            <w:pPr>
              <w:pStyle w:val="13"/>
            </w:pPr>
            <w:r>
              <w:t>≥90%</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审计单位和被审计单位效果满意度</w:t>
            </w:r>
          </w:p>
        </w:tc>
        <w:tc>
          <w:tcPr>
            <w:tcW w:w="2891" w:type="dxa"/>
            <w:vAlign w:val="center"/>
          </w:tcPr>
          <w:p>
            <w:pPr>
              <w:pStyle w:val="13"/>
            </w:pPr>
            <w:r>
              <w:t>大厂回族自治县审计局和被审计单位对中介机构审计行为及效果的满意度</w:t>
            </w:r>
          </w:p>
        </w:tc>
        <w:tc>
          <w:tcPr>
            <w:tcW w:w="1276" w:type="dxa"/>
            <w:vAlign w:val="center"/>
          </w:tcPr>
          <w:p>
            <w:pPr>
              <w:pStyle w:val="13"/>
            </w:pPr>
            <w:r>
              <w:t>≥95%</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862" w:firstLineChars="665"/>
        <w:outlineLvl w:val="3"/>
      </w:pPr>
      <w:r>
        <w:rPr>
          <w:rFonts w:ascii="方正仿宋_GBK" w:hAnsi="方正仿宋_GBK" w:eastAsia="方正仿宋_GBK" w:cs="方正仿宋_GBK"/>
          <w:color w:val="000000"/>
          <w:sz w:val="28"/>
        </w:rPr>
        <w:t>5.跟踪审计服务中介采购项目经费绩效目标表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13102823P00280910215L</w:t>
            </w:r>
          </w:p>
        </w:tc>
        <w:tc>
          <w:tcPr>
            <w:tcW w:w="1587" w:type="dxa"/>
            <w:vAlign w:val="center"/>
          </w:tcPr>
          <w:p>
            <w:pPr>
              <w:pStyle w:val="12"/>
            </w:pPr>
            <w:r>
              <w:t>项目名称</w:t>
            </w:r>
          </w:p>
        </w:tc>
        <w:tc>
          <w:tcPr>
            <w:tcW w:w="4422" w:type="dxa"/>
            <w:gridSpan w:val="3"/>
            <w:vAlign w:val="center"/>
          </w:tcPr>
          <w:p>
            <w:pPr>
              <w:pStyle w:val="13"/>
            </w:pPr>
            <w:r>
              <w:t>跟踪审计服务中介采购项目经费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355700.00</w:t>
            </w:r>
          </w:p>
        </w:tc>
        <w:tc>
          <w:tcPr>
            <w:tcW w:w="1587" w:type="dxa"/>
            <w:vAlign w:val="center"/>
          </w:tcPr>
          <w:p>
            <w:pPr>
              <w:pStyle w:val="12"/>
            </w:pPr>
            <w:r>
              <w:t>其中：财政    资金</w:t>
            </w:r>
          </w:p>
        </w:tc>
        <w:tc>
          <w:tcPr>
            <w:tcW w:w="1304" w:type="dxa"/>
            <w:vAlign w:val="center"/>
          </w:tcPr>
          <w:p>
            <w:pPr>
              <w:pStyle w:val="13"/>
            </w:pPr>
            <w:r>
              <w:t>355700.00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用于购买2023年度政府投资项目审计服务。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通过开展此项目，保障政府投资建设项目顺利推进，加强政府投资建设项目监督；促进科学决策和廉政建设，充分发挥政府投资项目的社会效益和经济效益。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审计项目数量</w:t>
            </w:r>
          </w:p>
        </w:tc>
        <w:tc>
          <w:tcPr>
            <w:tcW w:w="2891" w:type="dxa"/>
            <w:vAlign w:val="center"/>
          </w:tcPr>
          <w:p>
            <w:pPr>
              <w:pStyle w:val="13"/>
            </w:pPr>
            <w:r>
              <w:t>年度内计划审计项目数量</w:t>
            </w:r>
          </w:p>
        </w:tc>
        <w:tc>
          <w:tcPr>
            <w:tcW w:w="1276" w:type="dxa"/>
            <w:vAlign w:val="center"/>
          </w:tcPr>
          <w:p>
            <w:pPr>
              <w:pStyle w:val="13"/>
            </w:pPr>
            <w:r>
              <w:t>=1个</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问题回查率</w:t>
            </w:r>
          </w:p>
        </w:tc>
        <w:tc>
          <w:tcPr>
            <w:tcW w:w="2891" w:type="dxa"/>
            <w:vAlign w:val="center"/>
          </w:tcPr>
          <w:p>
            <w:pPr>
              <w:pStyle w:val="13"/>
            </w:pPr>
            <w:r>
              <w:t>问题回查数量占发现问题数量之比</w:t>
            </w:r>
          </w:p>
        </w:tc>
        <w:tc>
          <w:tcPr>
            <w:tcW w:w="1276" w:type="dxa"/>
            <w:vAlign w:val="center"/>
          </w:tcPr>
          <w:p>
            <w:pPr>
              <w:pStyle w:val="13"/>
            </w:pPr>
            <w:r>
              <w:t>≤5%</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年度审计任务按时完成率</w:t>
            </w:r>
          </w:p>
        </w:tc>
        <w:tc>
          <w:tcPr>
            <w:tcW w:w="2891" w:type="dxa"/>
            <w:vAlign w:val="center"/>
          </w:tcPr>
          <w:p>
            <w:pPr>
              <w:pStyle w:val="13"/>
            </w:pPr>
            <w:r>
              <w:t>反映是否按时完成审计任务</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审计项目成本</w:t>
            </w:r>
            <w:r>
              <w:rPr>
                <w:rFonts w:hint="eastAsia"/>
                <w:lang w:val="en-US" w:eastAsia="zh-Hans"/>
              </w:rPr>
              <w:t>控制数</w:t>
            </w:r>
          </w:p>
        </w:tc>
        <w:tc>
          <w:tcPr>
            <w:tcW w:w="2891" w:type="dxa"/>
            <w:vAlign w:val="center"/>
          </w:tcPr>
          <w:p>
            <w:pPr>
              <w:pStyle w:val="13"/>
            </w:pPr>
            <w:r>
              <w:t>当年审计完成项目的成本</w:t>
            </w:r>
            <w:r>
              <w:rPr>
                <w:rFonts w:hint="eastAsia"/>
                <w:lang w:val="en-US" w:eastAsia="zh-Hans"/>
              </w:rPr>
              <w:t>情况</w:t>
            </w:r>
          </w:p>
        </w:tc>
        <w:tc>
          <w:tcPr>
            <w:tcW w:w="1276" w:type="dxa"/>
            <w:vAlign w:val="center"/>
          </w:tcPr>
          <w:p>
            <w:pPr>
              <w:pStyle w:val="13"/>
            </w:pPr>
            <w:r>
              <w:t>≤35.57</w:t>
            </w:r>
            <w:r>
              <w:rPr>
                <w:rFonts w:hint="eastAsia"/>
                <w:lang w:val="en-US" w:eastAsia="zh-Hans"/>
              </w:rPr>
              <w:t>万</w:t>
            </w:r>
            <w:r>
              <w:t>元</w:t>
            </w:r>
          </w:p>
        </w:tc>
        <w:tc>
          <w:tcPr>
            <w:tcW w:w="1843"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审计建议采纳率</w:t>
            </w:r>
          </w:p>
        </w:tc>
        <w:tc>
          <w:tcPr>
            <w:tcW w:w="2891" w:type="dxa"/>
            <w:vAlign w:val="center"/>
          </w:tcPr>
          <w:p>
            <w:pPr>
              <w:pStyle w:val="13"/>
            </w:pPr>
            <w:r>
              <w:t>被采纳的审计建议占全部审计建议的比率</w:t>
            </w:r>
          </w:p>
        </w:tc>
        <w:tc>
          <w:tcPr>
            <w:tcW w:w="1276" w:type="dxa"/>
            <w:vAlign w:val="center"/>
          </w:tcPr>
          <w:p>
            <w:pPr>
              <w:pStyle w:val="13"/>
            </w:pPr>
            <w:r>
              <w:t>≥90%</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审计单位和被审计单位效果满意度</w:t>
            </w:r>
          </w:p>
        </w:tc>
        <w:tc>
          <w:tcPr>
            <w:tcW w:w="2891" w:type="dxa"/>
            <w:vAlign w:val="center"/>
          </w:tcPr>
          <w:p>
            <w:pPr>
              <w:pStyle w:val="13"/>
            </w:pPr>
            <w:r>
              <w:t>大厂回族自治县审计局和被审计单位对中介机构审计行为及效果的满意度</w:t>
            </w:r>
          </w:p>
        </w:tc>
        <w:tc>
          <w:tcPr>
            <w:tcW w:w="1276" w:type="dxa"/>
            <w:vAlign w:val="center"/>
          </w:tcPr>
          <w:p>
            <w:pPr>
              <w:pStyle w:val="13"/>
            </w:pPr>
            <w:r>
              <w:t>≥95%</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862" w:firstLineChars="665"/>
        <w:outlineLvl w:val="3"/>
      </w:pPr>
      <w:r>
        <w:rPr>
          <w:rFonts w:ascii="方正仿宋_GBK" w:hAnsi="方正仿宋_GBK" w:eastAsia="方正仿宋_GBK" w:cs="方正仿宋_GBK"/>
          <w:color w:val="000000"/>
          <w:sz w:val="28"/>
        </w:rPr>
        <w:t>6.竣工决算项目审计费绩效目标表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13102823P002809102168</w:t>
            </w:r>
          </w:p>
        </w:tc>
        <w:tc>
          <w:tcPr>
            <w:tcW w:w="1587" w:type="dxa"/>
            <w:vAlign w:val="center"/>
          </w:tcPr>
          <w:p>
            <w:pPr>
              <w:pStyle w:val="12"/>
            </w:pPr>
            <w:r>
              <w:t>项目名称</w:t>
            </w:r>
          </w:p>
        </w:tc>
        <w:tc>
          <w:tcPr>
            <w:tcW w:w="4422" w:type="dxa"/>
            <w:gridSpan w:val="3"/>
            <w:vAlign w:val="center"/>
          </w:tcPr>
          <w:p>
            <w:pPr>
              <w:pStyle w:val="13"/>
            </w:pPr>
            <w:r>
              <w:t>竣工决算项目审计费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500000.00</w:t>
            </w:r>
          </w:p>
        </w:tc>
        <w:tc>
          <w:tcPr>
            <w:tcW w:w="1587" w:type="dxa"/>
            <w:vAlign w:val="center"/>
          </w:tcPr>
          <w:p>
            <w:pPr>
              <w:pStyle w:val="12"/>
            </w:pPr>
            <w:r>
              <w:t>其中：财政    资金</w:t>
            </w:r>
          </w:p>
        </w:tc>
        <w:tc>
          <w:tcPr>
            <w:tcW w:w="1304" w:type="dxa"/>
            <w:vAlign w:val="center"/>
          </w:tcPr>
          <w:p>
            <w:pPr>
              <w:pStyle w:val="13"/>
            </w:pPr>
            <w:r>
              <w:t>500000.00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用于购买2023年度政府投资项目审计服务。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通过开展此项目，保障政府投资建设项目顺利推进，加强政府投资建设项目监督;促进科学决策和廉政建设，充分发挥政府投资项目的社会效益和经济效益。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审计项目数量</w:t>
            </w:r>
          </w:p>
        </w:tc>
        <w:tc>
          <w:tcPr>
            <w:tcW w:w="2891" w:type="dxa"/>
            <w:vAlign w:val="center"/>
          </w:tcPr>
          <w:p>
            <w:pPr>
              <w:pStyle w:val="13"/>
            </w:pPr>
            <w:r>
              <w:t>年度内计划审计项目数量</w:t>
            </w:r>
          </w:p>
        </w:tc>
        <w:tc>
          <w:tcPr>
            <w:tcW w:w="1276" w:type="dxa"/>
            <w:vAlign w:val="center"/>
          </w:tcPr>
          <w:p>
            <w:pPr>
              <w:pStyle w:val="13"/>
              <w:jc w:val="center"/>
            </w:pPr>
            <w:r>
              <w:t>≤2个</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问题回查率</w:t>
            </w:r>
          </w:p>
        </w:tc>
        <w:tc>
          <w:tcPr>
            <w:tcW w:w="2891" w:type="dxa"/>
            <w:vAlign w:val="center"/>
          </w:tcPr>
          <w:p>
            <w:pPr>
              <w:pStyle w:val="13"/>
            </w:pPr>
            <w:r>
              <w:t>问题回查数量占发现问题数量之比</w:t>
            </w:r>
          </w:p>
        </w:tc>
        <w:tc>
          <w:tcPr>
            <w:tcW w:w="1276" w:type="dxa"/>
            <w:vAlign w:val="center"/>
          </w:tcPr>
          <w:p>
            <w:pPr>
              <w:pStyle w:val="13"/>
              <w:jc w:val="center"/>
            </w:pPr>
            <w:r>
              <w:t>≤5%</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年度审计任务按时完成率</w:t>
            </w:r>
          </w:p>
        </w:tc>
        <w:tc>
          <w:tcPr>
            <w:tcW w:w="2891" w:type="dxa"/>
            <w:vAlign w:val="center"/>
          </w:tcPr>
          <w:p>
            <w:pPr>
              <w:pStyle w:val="13"/>
            </w:pPr>
            <w:r>
              <w:t>反映是否按时完成审计任务</w:t>
            </w:r>
          </w:p>
        </w:tc>
        <w:tc>
          <w:tcPr>
            <w:tcW w:w="1276" w:type="dxa"/>
            <w:vAlign w:val="center"/>
          </w:tcPr>
          <w:p>
            <w:pPr>
              <w:pStyle w:val="13"/>
              <w:jc w:val="center"/>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审计项目成本</w:t>
            </w:r>
            <w:r>
              <w:rPr>
                <w:rFonts w:hint="eastAsia"/>
                <w:lang w:val="en-US" w:eastAsia="zh-Hans"/>
              </w:rPr>
              <w:t>控制数</w:t>
            </w:r>
          </w:p>
        </w:tc>
        <w:tc>
          <w:tcPr>
            <w:tcW w:w="2891" w:type="dxa"/>
            <w:vAlign w:val="center"/>
          </w:tcPr>
          <w:p>
            <w:pPr>
              <w:pStyle w:val="13"/>
            </w:pPr>
            <w:r>
              <w:t>当年审计完成项目的成本</w:t>
            </w:r>
            <w:r>
              <w:rPr>
                <w:rFonts w:hint="eastAsia"/>
                <w:lang w:val="en-US" w:eastAsia="zh-Hans"/>
              </w:rPr>
              <w:t>情况</w:t>
            </w:r>
          </w:p>
        </w:tc>
        <w:tc>
          <w:tcPr>
            <w:tcW w:w="1276" w:type="dxa"/>
            <w:vAlign w:val="center"/>
          </w:tcPr>
          <w:p>
            <w:pPr>
              <w:pStyle w:val="13"/>
              <w:jc w:val="center"/>
            </w:pPr>
            <w:r>
              <w:t>≤50</w:t>
            </w:r>
            <w:r>
              <w:rPr>
                <w:rFonts w:hint="eastAsia"/>
                <w:lang w:eastAsia="zh-CN"/>
              </w:rPr>
              <w:t>0</w:t>
            </w:r>
            <w:r>
              <w:rPr>
                <w:lang w:eastAsia="zh-CN"/>
              </w:rPr>
              <w:t>000</w:t>
            </w:r>
            <w:r>
              <w:t>元</w:t>
            </w:r>
          </w:p>
        </w:tc>
        <w:tc>
          <w:tcPr>
            <w:tcW w:w="1843" w:type="dxa"/>
            <w:vAlign w:val="center"/>
          </w:tcPr>
          <w:p>
            <w:pPr>
              <w:pStyle w:val="13"/>
            </w:pPr>
            <w:r>
              <w:t>资金测算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审计建议采纳率</w:t>
            </w:r>
          </w:p>
        </w:tc>
        <w:tc>
          <w:tcPr>
            <w:tcW w:w="2891" w:type="dxa"/>
            <w:vAlign w:val="center"/>
          </w:tcPr>
          <w:p>
            <w:pPr>
              <w:pStyle w:val="13"/>
            </w:pPr>
            <w:r>
              <w:t>被采纳的审计建议占全部审计建议的比率</w:t>
            </w:r>
          </w:p>
        </w:tc>
        <w:tc>
          <w:tcPr>
            <w:tcW w:w="1276" w:type="dxa"/>
            <w:vAlign w:val="center"/>
          </w:tcPr>
          <w:p>
            <w:pPr>
              <w:pStyle w:val="13"/>
              <w:jc w:val="center"/>
            </w:pPr>
            <w:r>
              <w:t>≥90%</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审计单位和被审计单位效果满意度</w:t>
            </w:r>
          </w:p>
        </w:tc>
        <w:tc>
          <w:tcPr>
            <w:tcW w:w="2891" w:type="dxa"/>
            <w:vAlign w:val="center"/>
          </w:tcPr>
          <w:p>
            <w:pPr>
              <w:pStyle w:val="13"/>
            </w:pPr>
            <w:r>
              <w:t>大厂回族自治县审计局和被审计单位对中介机构审计行为及效果的满意度</w:t>
            </w:r>
          </w:p>
        </w:tc>
        <w:tc>
          <w:tcPr>
            <w:tcW w:w="1276" w:type="dxa"/>
            <w:vAlign w:val="center"/>
          </w:tcPr>
          <w:p>
            <w:pPr>
              <w:pStyle w:val="13"/>
              <w:jc w:val="center"/>
            </w:pPr>
            <w:r>
              <w:t>≥95%</w:t>
            </w:r>
          </w:p>
        </w:tc>
        <w:tc>
          <w:tcPr>
            <w:tcW w:w="1843" w:type="dxa"/>
            <w:vAlign w:val="center"/>
          </w:tcPr>
          <w:p>
            <w:pPr>
              <w:pStyle w:val="13"/>
            </w:pPr>
            <w:r>
              <w:rPr>
                <w:rFonts w:hint="eastAsia"/>
                <w:lang w:eastAsia="zh-CN"/>
              </w:rPr>
              <w:t>历史数据</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2520" w:firstLineChars="900"/>
        <w:outlineLvl w:val="3"/>
      </w:pPr>
      <w:r>
        <w:rPr>
          <w:rFonts w:ascii="方正仿宋_GBK" w:hAnsi="方正仿宋_GBK" w:eastAsia="方正仿宋_GBK" w:cs="方正仿宋_GBK"/>
          <w:color w:val="000000"/>
          <w:sz w:val="28"/>
        </w:rPr>
        <w:t>7.历史遗留工程项目审计费绩效目标表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319001大厂回族自治县审计局</w:t>
            </w:r>
          </w:p>
        </w:tc>
        <w:tc>
          <w:tcPr>
            <w:tcW w:w="1843" w:type="dxa"/>
            <w:tcBorders>
              <w:top w:val="single" w:color="FFFFFF" w:sz="6" w:space="0"/>
              <w:left w:val="single" w:color="FFFFFF" w:sz="6" w:space="0"/>
              <w:right w:val="single" w:color="FFFFFF" w:sz="6" w:space="0"/>
            </w:tcBorders>
            <w:vAlign w:val="center"/>
          </w:tcPr>
          <w:p>
            <w:pPr>
              <w:pStyle w:val="16"/>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3"/>
            </w:pPr>
            <w:r>
              <w:t>13102823P00280910217U</w:t>
            </w:r>
          </w:p>
        </w:tc>
        <w:tc>
          <w:tcPr>
            <w:tcW w:w="1587" w:type="dxa"/>
            <w:vAlign w:val="center"/>
          </w:tcPr>
          <w:p>
            <w:pPr>
              <w:pStyle w:val="12"/>
            </w:pPr>
            <w:r>
              <w:t>项目名称</w:t>
            </w:r>
          </w:p>
        </w:tc>
        <w:tc>
          <w:tcPr>
            <w:tcW w:w="4422" w:type="dxa"/>
            <w:gridSpan w:val="3"/>
            <w:vAlign w:val="center"/>
          </w:tcPr>
          <w:p>
            <w:pPr>
              <w:pStyle w:val="13"/>
            </w:pPr>
            <w:r>
              <w:t>历史遗留工程项目审计费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3"/>
            </w:pPr>
            <w:r>
              <w:t>500000.00</w:t>
            </w:r>
          </w:p>
        </w:tc>
        <w:tc>
          <w:tcPr>
            <w:tcW w:w="1587" w:type="dxa"/>
            <w:vAlign w:val="center"/>
          </w:tcPr>
          <w:p>
            <w:pPr>
              <w:pStyle w:val="12"/>
            </w:pPr>
            <w:r>
              <w:t>其中：财政    资金</w:t>
            </w:r>
          </w:p>
        </w:tc>
        <w:tc>
          <w:tcPr>
            <w:tcW w:w="1304" w:type="dxa"/>
            <w:vAlign w:val="center"/>
          </w:tcPr>
          <w:p>
            <w:pPr>
              <w:pStyle w:val="13"/>
            </w:pPr>
            <w:r>
              <w:t>500000.00</w:t>
            </w:r>
          </w:p>
        </w:tc>
        <w:tc>
          <w:tcPr>
            <w:tcW w:w="1276" w:type="dxa"/>
            <w:vAlign w:val="center"/>
          </w:tcPr>
          <w:p>
            <w:pPr>
              <w:pStyle w:val="12"/>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用于购买2023年度政府投资项目审计服务。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4"/>
            </w:pPr>
            <w:r>
              <w:t>25%</w:t>
            </w:r>
          </w:p>
        </w:tc>
        <w:tc>
          <w:tcPr>
            <w:tcW w:w="1587" w:type="dxa"/>
            <w:vAlign w:val="center"/>
          </w:tcPr>
          <w:p>
            <w:pPr>
              <w:pStyle w:val="14"/>
            </w:pPr>
            <w:r>
              <w:t>50%</w:t>
            </w:r>
          </w:p>
        </w:tc>
        <w:tc>
          <w:tcPr>
            <w:tcW w:w="1304" w:type="dxa"/>
            <w:vAlign w:val="center"/>
          </w:tcPr>
          <w:p>
            <w:pPr>
              <w:pStyle w:val="14"/>
            </w:pPr>
            <w:r>
              <w:t>75%</w:t>
            </w:r>
          </w:p>
        </w:tc>
        <w:tc>
          <w:tcPr>
            <w:tcW w:w="311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3"/>
            </w:pPr>
            <w:r>
              <w:t>通过开展此项目，保障政府投资建设项目顺利推进，加强政府投资建设项目监督；促进科学决策和廉政建设，充分发挥政府投资项目的社会效益和经济效益。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3"/>
            </w:pPr>
            <w:r>
              <w:t>数量指标</w:t>
            </w:r>
          </w:p>
        </w:tc>
        <w:tc>
          <w:tcPr>
            <w:tcW w:w="1332" w:type="dxa"/>
            <w:vAlign w:val="center"/>
          </w:tcPr>
          <w:p>
            <w:pPr>
              <w:pStyle w:val="13"/>
            </w:pPr>
            <w:r>
              <w:t>审计项目数量</w:t>
            </w:r>
          </w:p>
        </w:tc>
        <w:tc>
          <w:tcPr>
            <w:tcW w:w="2891" w:type="dxa"/>
            <w:vAlign w:val="center"/>
          </w:tcPr>
          <w:p>
            <w:pPr>
              <w:pStyle w:val="13"/>
            </w:pPr>
            <w:r>
              <w:t>年度内计划审计项目数量</w:t>
            </w:r>
          </w:p>
        </w:tc>
        <w:tc>
          <w:tcPr>
            <w:tcW w:w="1276" w:type="dxa"/>
            <w:vAlign w:val="center"/>
          </w:tcPr>
          <w:p>
            <w:pPr>
              <w:pStyle w:val="13"/>
              <w:jc w:val="center"/>
            </w:pPr>
            <w:r>
              <w:t>≤9个</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问题回查率</w:t>
            </w:r>
          </w:p>
        </w:tc>
        <w:tc>
          <w:tcPr>
            <w:tcW w:w="2891" w:type="dxa"/>
            <w:vAlign w:val="center"/>
          </w:tcPr>
          <w:p>
            <w:pPr>
              <w:pStyle w:val="13"/>
            </w:pPr>
            <w:r>
              <w:t>问题回查数量占发现问题数量之比</w:t>
            </w:r>
          </w:p>
        </w:tc>
        <w:tc>
          <w:tcPr>
            <w:tcW w:w="1276" w:type="dxa"/>
            <w:vAlign w:val="center"/>
          </w:tcPr>
          <w:p>
            <w:pPr>
              <w:pStyle w:val="13"/>
              <w:jc w:val="center"/>
            </w:pPr>
            <w:r>
              <w:t>≤5%</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年度审计任务按时完成率</w:t>
            </w:r>
          </w:p>
        </w:tc>
        <w:tc>
          <w:tcPr>
            <w:tcW w:w="2891" w:type="dxa"/>
            <w:vAlign w:val="center"/>
          </w:tcPr>
          <w:p>
            <w:pPr>
              <w:pStyle w:val="13"/>
            </w:pPr>
            <w:r>
              <w:t>反映是否按时完成审计任务</w:t>
            </w:r>
          </w:p>
        </w:tc>
        <w:tc>
          <w:tcPr>
            <w:tcW w:w="1276" w:type="dxa"/>
            <w:vAlign w:val="center"/>
          </w:tcPr>
          <w:p>
            <w:pPr>
              <w:pStyle w:val="13"/>
              <w:jc w:val="center"/>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rPr>
                <w:rFonts w:hint="default" w:eastAsia="方正书宋_GBK"/>
                <w:lang w:val="en-US" w:eastAsia="zh-Hans"/>
              </w:rPr>
            </w:pPr>
            <w:r>
              <w:t>审计项目成本</w:t>
            </w:r>
            <w:r>
              <w:rPr>
                <w:rFonts w:hint="eastAsia"/>
                <w:lang w:val="en-US" w:eastAsia="zh-Hans"/>
              </w:rPr>
              <w:t>控制数</w:t>
            </w:r>
          </w:p>
        </w:tc>
        <w:tc>
          <w:tcPr>
            <w:tcW w:w="2891" w:type="dxa"/>
            <w:vAlign w:val="center"/>
          </w:tcPr>
          <w:p>
            <w:pPr>
              <w:pStyle w:val="13"/>
              <w:rPr>
                <w:rFonts w:hint="eastAsia" w:eastAsia="方正书宋_GBK"/>
                <w:lang w:val="en-US" w:eastAsia="zh-Hans"/>
              </w:rPr>
            </w:pPr>
            <w:r>
              <w:t>当年审计完成项目的成本</w:t>
            </w:r>
            <w:r>
              <w:rPr>
                <w:rFonts w:hint="eastAsia"/>
                <w:lang w:val="en-US" w:eastAsia="zh-Hans"/>
              </w:rPr>
              <w:t>情况</w:t>
            </w:r>
          </w:p>
        </w:tc>
        <w:tc>
          <w:tcPr>
            <w:tcW w:w="1276" w:type="dxa"/>
            <w:vAlign w:val="center"/>
          </w:tcPr>
          <w:p>
            <w:pPr>
              <w:pStyle w:val="13"/>
              <w:jc w:val="center"/>
            </w:pPr>
            <w:r>
              <w:t>≤50</w:t>
            </w:r>
            <w:r>
              <w:rPr>
                <w:rFonts w:hint="eastAsia"/>
                <w:lang w:eastAsia="zh-CN"/>
              </w:rPr>
              <w:t>0</w:t>
            </w:r>
            <w:r>
              <w:rPr>
                <w:lang w:eastAsia="zh-CN"/>
              </w:rPr>
              <w:t>000</w:t>
            </w:r>
            <w:r>
              <w:t>元</w:t>
            </w:r>
          </w:p>
        </w:tc>
        <w:tc>
          <w:tcPr>
            <w:tcW w:w="1843" w:type="dxa"/>
            <w:vAlign w:val="center"/>
          </w:tcPr>
          <w:p>
            <w:pPr>
              <w:pStyle w:val="13"/>
            </w:pPr>
            <w:r>
              <w:t>资金测算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3"/>
            </w:pPr>
            <w:r>
              <w:t>社会效益指标</w:t>
            </w:r>
          </w:p>
        </w:tc>
        <w:tc>
          <w:tcPr>
            <w:tcW w:w="1332" w:type="dxa"/>
            <w:vAlign w:val="center"/>
          </w:tcPr>
          <w:p>
            <w:pPr>
              <w:pStyle w:val="13"/>
            </w:pPr>
            <w:r>
              <w:t>审计建议采纳率</w:t>
            </w:r>
          </w:p>
        </w:tc>
        <w:tc>
          <w:tcPr>
            <w:tcW w:w="2891" w:type="dxa"/>
            <w:vAlign w:val="center"/>
          </w:tcPr>
          <w:p>
            <w:pPr>
              <w:pStyle w:val="13"/>
            </w:pPr>
            <w:r>
              <w:t>被采纳的审计建议占全部审计建议的比率</w:t>
            </w:r>
          </w:p>
        </w:tc>
        <w:tc>
          <w:tcPr>
            <w:tcW w:w="1276" w:type="dxa"/>
            <w:vAlign w:val="center"/>
          </w:tcPr>
          <w:p>
            <w:pPr>
              <w:pStyle w:val="13"/>
              <w:jc w:val="center"/>
            </w:pPr>
            <w:r>
              <w:t>≥90%</w:t>
            </w:r>
          </w:p>
        </w:tc>
        <w:tc>
          <w:tcPr>
            <w:tcW w:w="1843"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3"/>
            </w:pPr>
            <w:r>
              <w:t>服务对象满意度指标</w:t>
            </w:r>
          </w:p>
        </w:tc>
        <w:tc>
          <w:tcPr>
            <w:tcW w:w="1332" w:type="dxa"/>
            <w:vAlign w:val="center"/>
          </w:tcPr>
          <w:p>
            <w:pPr>
              <w:pStyle w:val="13"/>
            </w:pPr>
            <w:r>
              <w:t>审计单位和被审计单位效果满意度</w:t>
            </w:r>
          </w:p>
        </w:tc>
        <w:tc>
          <w:tcPr>
            <w:tcW w:w="2891" w:type="dxa"/>
            <w:vAlign w:val="center"/>
          </w:tcPr>
          <w:p>
            <w:pPr>
              <w:pStyle w:val="13"/>
            </w:pPr>
            <w:r>
              <w:t>大厂回族自治县审计局和被审计单位对中介机构审计行为及效果的满意度</w:t>
            </w:r>
          </w:p>
        </w:tc>
        <w:tc>
          <w:tcPr>
            <w:tcW w:w="1276" w:type="dxa"/>
            <w:vAlign w:val="center"/>
          </w:tcPr>
          <w:p>
            <w:pPr>
              <w:pStyle w:val="13"/>
              <w:jc w:val="center"/>
            </w:pPr>
            <w:r>
              <w:t>≥95%</w:t>
            </w:r>
          </w:p>
        </w:tc>
        <w:tc>
          <w:tcPr>
            <w:tcW w:w="1843" w:type="dxa"/>
            <w:vAlign w:val="center"/>
          </w:tcPr>
          <w:p>
            <w:pPr>
              <w:pStyle w:val="13"/>
              <w:rPr>
                <w:rFonts w:asciiTheme="minorHAnsi" w:hAnsiTheme="minorHAnsi"/>
                <w:lang w:val="uk-UA"/>
              </w:rPr>
            </w:pPr>
            <w:r>
              <w:rPr>
                <w:rFonts w:hint="eastAsia"/>
                <w:lang w:eastAsia="zh-CN"/>
              </w:rPr>
              <w:t>历史数据</w:t>
            </w:r>
          </w:p>
        </w:tc>
      </w:tr>
    </w:tbl>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六、政府采购预算情况</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仿宋" w:hAnsi="仿宋" w:eastAsia="仿宋" w:cs="Times New Roman"/>
          <w:color w:val="auto"/>
          <w:sz w:val="32"/>
          <w:szCs w:val="32"/>
        </w:rPr>
      </w:pPr>
      <w:bookmarkStart w:id="2" w:name="_Toc471398468"/>
      <w:r>
        <w:rPr>
          <w:rFonts w:ascii="仿宋" w:hAnsi="仿宋" w:eastAsia="仿宋" w:cs="Times New Roman"/>
          <w:color w:val="auto"/>
          <w:sz w:val="32"/>
          <w:szCs w:val="32"/>
        </w:rPr>
        <w:t>20</w:t>
      </w:r>
      <w:r>
        <w:rPr>
          <w:rFonts w:hint="eastAsia" w:ascii="仿宋" w:hAnsi="仿宋" w:eastAsia="仿宋" w:cs="Times New Roman"/>
          <w:color w:val="auto"/>
          <w:sz w:val="32"/>
          <w:szCs w:val="32"/>
        </w:rPr>
        <w:t>2</w:t>
      </w:r>
      <w:r>
        <w:rPr>
          <w:rFonts w:hint="eastAsia" w:ascii="仿宋" w:hAnsi="仿宋" w:eastAsia="仿宋" w:cs="Times New Roman"/>
          <w:color w:val="auto"/>
          <w:sz w:val="32"/>
          <w:szCs w:val="32"/>
          <w:lang w:val="en-US" w:eastAsia="zh-CN"/>
        </w:rPr>
        <w:t>3</w:t>
      </w:r>
      <w:r>
        <w:rPr>
          <w:rFonts w:ascii="仿宋" w:hAnsi="仿宋" w:eastAsia="仿宋" w:cs="Times New Roman"/>
          <w:color w:val="auto"/>
          <w:sz w:val="32"/>
          <w:szCs w:val="32"/>
        </w:rPr>
        <w:t>年，我部门安排政府采购预算</w:t>
      </w:r>
      <w:r>
        <w:rPr>
          <w:rFonts w:hint="eastAsia" w:ascii="仿宋" w:hAnsi="仿宋" w:eastAsia="仿宋" w:cs="Times New Roman"/>
          <w:color w:val="auto"/>
          <w:sz w:val="32"/>
          <w:szCs w:val="32"/>
          <w:lang w:val="en-US" w:eastAsia="zh-CN"/>
        </w:rPr>
        <w:t>50</w:t>
      </w:r>
      <w:r>
        <w:rPr>
          <w:rFonts w:ascii="仿宋" w:hAnsi="仿宋" w:eastAsia="仿宋" w:cs="Times New Roman"/>
          <w:color w:val="auto"/>
          <w:sz w:val="32"/>
          <w:szCs w:val="32"/>
        </w:rPr>
        <w:t>万元。具体内容见下表。</w:t>
      </w:r>
    </w:p>
    <w:bookmarkEnd w:id="2"/>
    <w:p>
      <w:pPr>
        <w:spacing w:line="584" w:lineRule="exact"/>
        <w:jc w:val="left"/>
        <w:outlineLvl w:val="0"/>
        <w:rPr>
          <w:rFonts w:ascii="Times New Roman" w:hAnsi="Times New Roman" w:eastAsia="仿宋_GB2312" w:cs="Times New Roman"/>
          <w:color w:val="auto"/>
        </w:rPr>
      </w:pPr>
    </w:p>
    <w:p>
      <w:pPr>
        <w:jc w:val="center"/>
        <w:outlineLvl w:val="1"/>
        <w:rPr>
          <w:rFonts w:ascii="Times New Roman" w:hAnsi="Times New Roman" w:cs="Times New Roman"/>
          <w:color w:val="auto"/>
          <w:sz w:val="32"/>
        </w:rPr>
      </w:pPr>
      <w:bookmarkStart w:id="3" w:name="_Toc64920910"/>
      <w:r>
        <w:rPr>
          <w:rFonts w:hint="eastAsia" w:ascii="方正小标宋_GBK" w:eastAsia="方正小标宋_GBK" w:cs="Times New Roman"/>
          <w:color w:val="auto"/>
          <w:sz w:val="32"/>
        </w:rPr>
        <w:t>部门政府采购预算</w:t>
      </w:r>
      <w:bookmarkEnd w:id="3"/>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color w:val="auto"/>
                <w:sz w:val="24"/>
                <w:lang w:val="en-US" w:eastAsia="zh-CN"/>
              </w:rPr>
            </w:pPr>
            <w:r>
              <w:rPr>
                <w:rFonts w:hint="eastAsia" w:ascii="方正小标宋_GBK" w:eastAsia="方正小标宋_GBK"/>
                <w:color w:val="auto"/>
                <w:sz w:val="24"/>
                <w:lang w:val="en-US" w:eastAsia="zh-CN"/>
              </w:rPr>
              <w:t>319</w:t>
            </w:r>
            <w:r>
              <w:rPr>
                <w:rFonts w:hint="eastAsia" w:ascii="方正小标宋_GBK" w:eastAsia="方正小标宋_GBK" w:cs="Times New Roman"/>
                <w:color w:val="auto"/>
                <w:sz w:val="24"/>
              </w:rPr>
              <w:t>大厂回族自治县</w:t>
            </w:r>
            <w:r>
              <w:rPr>
                <w:rFonts w:hint="eastAsia" w:ascii="方正小标宋_GBK" w:eastAsia="方正小标宋_GBK" w:cs="Times New Roman"/>
                <w:color w:val="auto"/>
                <w:sz w:val="24"/>
                <w:lang w:val="en-US" w:eastAsia="zh-CN"/>
              </w:rPr>
              <w:t>审计局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color w:val="auto"/>
                <w:sz w:val="24"/>
              </w:rPr>
            </w:pPr>
            <w:r>
              <w:rPr>
                <w:rFonts w:ascii="方正书宋_GBK" w:eastAsia="方正书宋_GBK" w:cs="Times New Roman"/>
                <w:color w:val="auto"/>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数量</w:t>
            </w:r>
          </w:p>
        </w:tc>
        <w:tc>
          <w:tcPr>
            <w:tcW w:w="907" w:type="dxa"/>
            <w:vMerge w:val="restart"/>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单价</w:t>
            </w:r>
          </w:p>
        </w:tc>
        <w:tc>
          <w:tcPr>
            <w:tcW w:w="6804" w:type="dxa"/>
            <w:gridSpan w:val="6"/>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项目名称</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预算资金</w:t>
            </w:r>
          </w:p>
        </w:tc>
        <w:tc>
          <w:tcPr>
            <w:tcW w:w="1531" w:type="dxa"/>
            <w:vMerge w:val="continue"/>
            <w:shd w:val="clear" w:color="auto" w:fill="auto"/>
            <w:vAlign w:val="center"/>
          </w:tcPr>
          <w:p>
            <w:pPr>
              <w:rPr>
                <w:color w:val="auto"/>
              </w:rPr>
            </w:pPr>
          </w:p>
        </w:tc>
        <w:tc>
          <w:tcPr>
            <w:tcW w:w="1531" w:type="dxa"/>
            <w:vMerge w:val="continue"/>
            <w:shd w:val="clear" w:color="auto" w:fill="auto"/>
            <w:vAlign w:val="center"/>
          </w:tcPr>
          <w:p>
            <w:pPr>
              <w:rPr>
                <w:color w:val="auto"/>
              </w:rPr>
            </w:pPr>
          </w:p>
        </w:tc>
        <w:tc>
          <w:tcPr>
            <w:tcW w:w="709" w:type="dxa"/>
            <w:vMerge w:val="continue"/>
            <w:shd w:val="clear" w:color="auto" w:fill="auto"/>
            <w:vAlign w:val="center"/>
          </w:tcPr>
          <w:p>
            <w:pPr>
              <w:rPr>
                <w:color w:val="auto"/>
              </w:rPr>
            </w:pPr>
          </w:p>
        </w:tc>
        <w:tc>
          <w:tcPr>
            <w:tcW w:w="907" w:type="dxa"/>
            <w:vMerge w:val="continue"/>
            <w:shd w:val="clear" w:color="auto" w:fill="auto"/>
            <w:vAlign w:val="center"/>
          </w:tcPr>
          <w:p>
            <w:pPr>
              <w:rPr>
                <w:color w:val="auto"/>
              </w:rPr>
            </w:pPr>
          </w:p>
        </w:tc>
        <w:tc>
          <w:tcPr>
            <w:tcW w:w="907" w:type="dxa"/>
            <w:vMerge w:val="continue"/>
            <w:shd w:val="clear" w:color="auto" w:fill="auto"/>
            <w:vAlign w:val="center"/>
          </w:tcPr>
          <w:p>
            <w:pPr>
              <w:rPr>
                <w:color w:val="auto"/>
              </w:rPr>
            </w:pP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合计</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一般公共预算拨款</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基金预算拨款</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财政专户核拨</w:t>
            </w:r>
          </w:p>
        </w:tc>
        <w:tc>
          <w:tcPr>
            <w:tcW w:w="113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auto"/>
              </w:rPr>
            </w:pPr>
            <w:r>
              <w:rPr>
                <w:rFonts w:ascii="方正书宋_GBK" w:eastAsia="方正书宋_GBK" w:cs="Times New Roman"/>
                <w:b/>
                <w:color w:val="auto"/>
              </w:rPr>
              <w:t>合  计</w:t>
            </w: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531" w:type="dxa"/>
            <w:shd w:val="clear" w:color="auto" w:fill="auto"/>
            <w:vAlign w:val="center"/>
          </w:tcPr>
          <w:p>
            <w:pPr>
              <w:spacing w:line="300" w:lineRule="exact"/>
              <w:jc w:val="left"/>
              <w:rPr>
                <w:rFonts w:ascii="方正书宋_GBK" w:eastAsia="方正书宋_GBK" w:cs="Times New Roman"/>
                <w:b/>
                <w:color w:val="auto"/>
              </w:rPr>
            </w:pPr>
          </w:p>
        </w:tc>
        <w:tc>
          <w:tcPr>
            <w:tcW w:w="1531" w:type="dxa"/>
            <w:shd w:val="clear" w:color="auto" w:fill="auto"/>
            <w:vAlign w:val="center"/>
          </w:tcPr>
          <w:p>
            <w:pPr>
              <w:spacing w:line="300" w:lineRule="exact"/>
              <w:jc w:val="left"/>
              <w:rPr>
                <w:rFonts w:ascii="方正书宋_GBK" w:eastAsia="方正书宋_GBK" w:cs="Times New Roman"/>
                <w:b/>
                <w:color w:val="auto"/>
              </w:rPr>
            </w:pPr>
          </w:p>
        </w:tc>
        <w:tc>
          <w:tcPr>
            <w:tcW w:w="709" w:type="dxa"/>
            <w:shd w:val="clear" w:color="auto" w:fill="auto"/>
            <w:vAlign w:val="center"/>
          </w:tcPr>
          <w:p>
            <w:pPr>
              <w:spacing w:line="300" w:lineRule="exact"/>
              <w:jc w:val="center"/>
              <w:rPr>
                <w:rFonts w:ascii="方正书宋_GBK" w:eastAsia="方正书宋_GBK" w:cs="Times New Roman"/>
                <w:b/>
                <w:color w:val="auto"/>
              </w:rPr>
            </w:pPr>
          </w:p>
        </w:tc>
        <w:tc>
          <w:tcPr>
            <w:tcW w:w="907" w:type="dxa"/>
            <w:shd w:val="clear" w:color="auto" w:fill="auto"/>
            <w:vAlign w:val="center"/>
          </w:tcPr>
          <w:p>
            <w:pPr>
              <w:spacing w:line="300" w:lineRule="exact"/>
              <w:jc w:val="right"/>
              <w:rPr>
                <w:rFonts w:ascii="方正书宋_GBK" w:eastAsia="方正书宋_GBK" w:cs="Times New Roman"/>
                <w:b/>
                <w:color w:val="auto"/>
              </w:rPr>
            </w:pPr>
          </w:p>
        </w:tc>
        <w:tc>
          <w:tcPr>
            <w:tcW w:w="907"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项目审计费</w:t>
            </w: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531" w:type="dxa"/>
            <w:shd w:val="clear" w:color="auto" w:fill="auto"/>
            <w:vAlign w:val="center"/>
          </w:tcPr>
          <w:p>
            <w:pPr>
              <w:spacing w:line="300" w:lineRule="exact"/>
              <w:jc w:val="left"/>
              <w:rPr>
                <w:rFonts w:hint="eastAsia"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审计服务</w:t>
            </w:r>
          </w:p>
        </w:tc>
        <w:tc>
          <w:tcPr>
            <w:tcW w:w="1531" w:type="dxa"/>
            <w:shd w:val="clear" w:color="auto" w:fill="auto"/>
            <w:vAlign w:val="center"/>
          </w:tcPr>
          <w:p>
            <w:pPr>
              <w:spacing w:line="300" w:lineRule="exact"/>
              <w:jc w:val="lef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C0803</w:t>
            </w:r>
          </w:p>
        </w:tc>
        <w:tc>
          <w:tcPr>
            <w:tcW w:w="709" w:type="dxa"/>
            <w:shd w:val="clear" w:color="auto" w:fill="auto"/>
            <w:vAlign w:val="center"/>
          </w:tcPr>
          <w:p>
            <w:pPr>
              <w:spacing w:line="300" w:lineRule="exact"/>
              <w:jc w:val="center"/>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项</w:t>
            </w:r>
          </w:p>
        </w:tc>
        <w:tc>
          <w:tcPr>
            <w:tcW w:w="907" w:type="dxa"/>
            <w:shd w:val="clear" w:color="auto" w:fill="auto"/>
            <w:vAlign w:val="center"/>
          </w:tcPr>
          <w:p>
            <w:pPr>
              <w:spacing w:line="300" w:lineRule="exact"/>
              <w:jc w:val="right"/>
              <w:rPr>
                <w:rFonts w:hint="eastAsia"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hint="default" w:ascii="方正书宋_GBK" w:eastAsia="方正书宋_GBK" w:cs="Times New Roman"/>
                <w:b/>
                <w:color w:val="auto"/>
                <w:lang w:val="en-US" w:eastAsia="zh-CN"/>
              </w:rPr>
            </w:pPr>
            <w:r>
              <w:rPr>
                <w:rFonts w:hint="eastAsia" w:ascii="方正书宋_GBK" w:eastAsia="方正书宋_GBK" w:cs="Times New Roman"/>
                <w:b/>
                <w:color w:val="auto"/>
                <w:lang w:val="en-US" w:eastAsia="zh-CN"/>
              </w:rPr>
              <w:t>50</w:t>
            </w: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c>
          <w:tcPr>
            <w:tcW w:w="1134" w:type="dxa"/>
            <w:shd w:val="clear" w:color="auto" w:fill="auto"/>
            <w:vAlign w:val="center"/>
          </w:tcPr>
          <w:p>
            <w:pPr>
              <w:spacing w:line="300" w:lineRule="exact"/>
              <w:jc w:val="right"/>
              <w:rPr>
                <w:rFonts w:ascii="方正书宋_GBK" w:eastAsia="方正书宋_GBK" w:cs="Times New Roman"/>
                <w:b/>
                <w:color w:val="auto"/>
              </w:rPr>
            </w:pPr>
          </w:p>
        </w:tc>
      </w:tr>
    </w:tbl>
    <w:p>
      <w:pPr>
        <w:spacing w:line="584" w:lineRule="exact"/>
        <w:jc w:val="left"/>
        <w:outlineLvl w:val="0"/>
        <w:rPr>
          <w:rFonts w:ascii="Times New Roman" w:hAnsi="Times New Roman" w:eastAsia="仿宋_GB2312" w:cs="Times New Roman"/>
          <w:color w:val="auto"/>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color w:val="auto"/>
        </w:rPr>
        <w:t>注:同一采购目录序号的物品,其单价会因配置规格不同而变动,均符合配置标准.涉密采购事项按照相关规定执行.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highlight w:val="magenta"/>
        </w:rPr>
      </w:pPr>
      <w:r>
        <w:rPr>
          <w:rFonts w:ascii="Times New Roman" w:hAnsi="Times New Roman" w:eastAsia="黑体" w:cs="Times New Roman"/>
          <w:color w:val="auto"/>
          <w:sz w:val="32"/>
          <w:szCs w:val="32"/>
        </w:rPr>
        <w:t>七、</w:t>
      </w:r>
      <w:r>
        <w:rPr>
          <w:rFonts w:ascii="Times New Roman" w:hAnsi="Times New Roman" w:eastAsia="黑体" w:cs="Times New Roman"/>
          <w:color w:val="auto"/>
          <w:sz w:val="32"/>
          <w:szCs w:val="32"/>
          <w:highlight w:val="none"/>
        </w:rPr>
        <w:t>国有资产信息</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color w:val="auto"/>
          <w:sz w:val="32"/>
          <w:szCs w:val="32"/>
        </w:rPr>
      </w:pPr>
      <w:r>
        <w:rPr>
          <w:rFonts w:hint="eastAsia" w:ascii="仿宋" w:hAnsi="仿宋" w:eastAsia="仿宋" w:cs="Times New Roman"/>
          <w:color w:val="auto"/>
          <w:sz w:val="32"/>
          <w:szCs w:val="32"/>
        </w:rPr>
        <w:t>大厂回族自治县</w:t>
      </w:r>
      <w:r>
        <w:rPr>
          <w:rFonts w:hint="eastAsia" w:ascii="仿宋" w:hAnsi="仿宋" w:eastAsia="仿宋" w:cs="Times New Roman"/>
          <w:color w:val="auto"/>
          <w:sz w:val="32"/>
          <w:szCs w:val="32"/>
          <w:lang w:val="en-US" w:eastAsia="zh-CN"/>
        </w:rPr>
        <w:t>审计局</w:t>
      </w:r>
      <w:r>
        <w:rPr>
          <w:rFonts w:ascii="仿宋" w:hAnsi="仿宋" w:eastAsia="仿宋" w:cs="Times New Roman"/>
          <w:color w:val="auto"/>
          <w:sz w:val="32"/>
          <w:szCs w:val="32"/>
        </w:rPr>
        <w:t>上年末固定资产金额为</w:t>
      </w:r>
      <w:r>
        <w:rPr>
          <w:rFonts w:hint="eastAsia" w:ascii="仿宋" w:hAnsi="仿宋" w:eastAsia="仿宋" w:cs="Times New Roman"/>
          <w:color w:val="auto"/>
          <w:sz w:val="32"/>
          <w:szCs w:val="32"/>
          <w:lang w:val="en-US" w:eastAsia="zh-CN"/>
        </w:rPr>
        <w:t>249.99</w:t>
      </w:r>
      <w:r>
        <w:rPr>
          <w:rFonts w:ascii="仿宋" w:hAnsi="仿宋" w:eastAsia="仿宋" w:cs="Times New Roman"/>
          <w:color w:val="auto"/>
          <w:sz w:val="32"/>
          <w:szCs w:val="32"/>
        </w:rPr>
        <w:t>万元</w:t>
      </w:r>
      <w:r>
        <w:rPr>
          <w:rFonts w:hint="eastAsia" w:ascii="仿宋" w:hAnsi="仿宋" w:eastAsia="仿宋" w:cs="Times New Roman"/>
          <w:color w:val="auto"/>
          <w:sz w:val="32"/>
          <w:szCs w:val="32"/>
        </w:rPr>
        <w:t>（详见下表）</w:t>
      </w:r>
      <w:r>
        <w:rPr>
          <w:rFonts w:ascii="仿宋" w:hAnsi="仿宋" w:eastAsia="仿宋" w:cs="Times New Roman"/>
          <w:color w:val="auto"/>
          <w:sz w:val="32"/>
          <w:szCs w:val="32"/>
        </w:rPr>
        <w:t>，本年度我部门拟购置固定资产</w:t>
      </w:r>
      <w:r>
        <w:rPr>
          <w:rFonts w:hint="eastAsia" w:ascii="仿宋" w:hAnsi="仿宋" w:eastAsia="仿宋" w:cs="Times New Roman"/>
          <w:color w:val="auto"/>
          <w:sz w:val="32"/>
          <w:szCs w:val="32"/>
        </w:rPr>
        <w:t>总额为</w:t>
      </w:r>
      <w:r>
        <w:rPr>
          <w:rFonts w:hint="eastAsia" w:ascii="仿宋" w:hAnsi="仿宋" w:eastAsia="仿宋" w:cs="Times New Roman"/>
          <w:color w:val="auto"/>
          <w:sz w:val="32"/>
          <w:szCs w:val="32"/>
          <w:lang w:val="en-US" w:eastAsia="zh-CN"/>
        </w:rPr>
        <w:t>0</w:t>
      </w:r>
      <w:r>
        <w:rPr>
          <w:rFonts w:hint="eastAsia" w:ascii="仿宋" w:hAnsi="仿宋" w:eastAsia="仿宋" w:cs="Times New Roman"/>
          <w:color w:val="auto"/>
          <w:sz w:val="32"/>
          <w:szCs w:val="32"/>
        </w:rPr>
        <w:t>万元</w:t>
      </w:r>
      <w:r>
        <w:rPr>
          <w:rFonts w:ascii="仿宋" w:hAnsi="仿宋" w:eastAsia="仿宋" w:cs="Times New Roman"/>
          <w:color w:val="auto"/>
          <w:sz w:val="32"/>
          <w:szCs w:val="32"/>
        </w:rPr>
        <w:t>。</w:t>
      </w:r>
    </w:p>
    <w:p>
      <w:pPr>
        <w:spacing w:line="584" w:lineRule="exact"/>
        <w:ind w:firstLine="640"/>
        <w:rPr>
          <w:rFonts w:ascii="Times New Roman" w:hAnsi="Times New Roman" w:eastAsia="仿宋_GB2312" w:cs="Times New Roman"/>
          <w:color w:val="auto"/>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color w:val="auto"/>
                <w:kern w:val="0"/>
                <w:sz w:val="32"/>
                <w:szCs w:val="32"/>
              </w:rPr>
            </w:pPr>
            <w:r>
              <w:rPr>
                <w:rFonts w:hint="eastAsia" w:ascii="仿宋" w:hAnsi="仿宋" w:eastAsia="仿宋" w:cs="Times New Roman"/>
                <w:b/>
                <w:bCs/>
                <w:color w:val="auto"/>
                <w:kern w:val="0"/>
                <w:sz w:val="32"/>
                <w:szCs w:val="32"/>
              </w:rPr>
              <w:t>大厂回族自治县县</w:t>
            </w:r>
            <w:r>
              <w:rPr>
                <w:rFonts w:ascii="仿宋" w:hAnsi="仿宋" w:eastAsia="仿宋" w:cs="Times New Roman"/>
                <w:b/>
                <w:bCs/>
                <w:color w:val="auto"/>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auto"/>
                <w:kern w:val="0"/>
                <w:sz w:val="22"/>
                <w:lang w:val="en-US" w:eastAsia="zh-CN"/>
              </w:rPr>
            </w:pPr>
            <w:r>
              <w:rPr>
                <w:rFonts w:ascii="Times New Roman" w:hAnsi="Times New Roman" w:eastAsia="仿宋_GB2312" w:cs="Times New Roman"/>
                <w:color w:val="auto"/>
                <w:kern w:val="0"/>
                <w:sz w:val="22"/>
              </w:rPr>
              <w:t>编制部门：</w:t>
            </w:r>
            <w:r>
              <w:rPr>
                <w:rFonts w:hint="eastAsia" w:ascii="Times New Roman" w:hAnsi="Times New Roman" w:eastAsia="仿宋_GB2312" w:cs="Times New Roman"/>
                <w:color w:val="auto"/>
                <w:kern w:val="0"/>
                <w:sz w:val="22"/>
              </w:rPr>
              <w:t>大厂回族自治县</w:t>
            </w:r>
            <w:r>
              <w:rPr>
                <w:rFonts w:hint="eastAsia" w:ascii="Times New Roman" w:hAnsi="Times New Roman" w:eastAsia="仿宋_GB2312" w:cs="Times New Roman"/>
                <w:color w:val="auto"/>
                <w:kern w:val="0"/>
                <w:sz w:val="22"/>
                <w:lang w:val="en-US" w:eastAsia="zh-CN"/>
              </w:rPr>
              <w:t>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截止时间：20</w:t>
            </w:r>
            <w:r>
              <w:rPr>
                <w:rFonts w:hint="eastAsia" w:ascii="Times New Roman" w:hAnsi="Times New Roman" w:eastAsia="仿宋_GB2312" w:cs="Times New Roman"/>
                <w:color w:val="auto"/>
                <w:kern w:val="0"/>
                <w:sz w:val="22"/>
              </w:rPr>
              <w:t>2</w:t>
            </w:r>
            <w:r>
              <w:rPr>
                <w:rFonts w:hint="eastAsia" w:ascii="Times New Roman" w:hAnsi="Times New Roman" w:eastAsia="仿宋_GB2312" w:cs="Times New Roman"/>
                <w:color w:val="auto"/>
                <w:kern w:val="0"/>
                <w:sz w:val="22"/>
                <w:lang w:val="en-US" w:eastAsia="zh-CN"/>
              </w:rPr>
              <w:t>2</w:t>
            </w:r>
            <w:r>
              <w:rPr>
                <w:rFonts w:ascii="Times New Roman" w:hAnsi="Times New Roman" w:eastAsia="仿宋_GB2312" w:cs="Times New Roman"/>
                <w:color w:val="auto"/>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r>
              <w:rPr>
                <w:rFonts w:ascii="Times New Roman" w:hAnsi="Times New Roman" w:eastAsia="仿宋_GB2312" w:cs="Times New Roman"/>
                <w:color w:val="auto"/>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249.99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33.36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20.79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195.84</w:t>
            </w:r>
          </w:p>
        </w:tc>
      </w:tr>
    </w:tbl>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p>
      <w:pPr>
        <w:spacing w:line="584" w:lineRule="exact"/>
        <w:ind w:firstLine="640" w:firstLineChars="200"/>
        <w:rPr>
          <w:rFonts w:ascii="仿宋" w:hAnsi="仿宋" w:eastAsia="仿宋" w:cs="Times New Roman"/>
          <w:color w:val="0000FF"/>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16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16671A1"/>
    <w:rsid w:val="021051E9"/>
    <w:rsid w:val="04781A0B"/>
    <w:rsid w:val="053E4819"/>
    <w:rsid w:val="06835451"/>
    <w:rsid w:val="088D019B"/>
    <w:rsid w:val="098A46BA"/>
    <w:rsid w:val="0A0A1149"/>
    <w:rsid w:val="0A0E461C"/>
    <w:rsid w:val="0BF70109"/>
    <w:rsid w:val="0C796C68"/>
    <w:rsid w:val="0E176739"/>
    <w:rsid w:val="13DA6549"/>
    <w:rsid w:val="14261483"/>
    <w:rsid w:val="14452CA2"/>
    <w:rsid w:val="17A42E9D"/>
    <w:rsid w:val="18D832E3"/>
    <w:rsid w:val="19DC02C2"/>
    <w:rsid w:val="1B3517E8"/>
    <w:rsid w:val="1D5C02AD"/>
    <w:rsid w:val="1D6F75BD"/>
    <w:rsid w:val="1D741406"/>
    <w:rsid w:val="1E030D88"/>
    <w:rsid w:val="1E9F175D"/>
    <w:rsid w:val="1EFC62AD"/>
    <w:rsid w:val="24285328"/>
    <w:rsid w:val="242B2237"/>
    <w:rsid w:val="26010A23"/>
    <w:rsid w:val="26092F2B"/>
    <w:rsid w:val="265902D6"/>
    <w:rsid w:val="265E2CFF"/>
    <w:rsid w:val="26FE2BF9"/>
    <w:rsid w:val="2822655B"/>
    <w:rsid w:val="2D4F6731"/>
    <w:rsid w:val="2DF37BF9"/>
    <w:rsid w:val="2E507989"/>
    <w:rsid w:val="2F851465"/>
    <w:rsid w:val="30BB2AFC"/>
    <w:rsid w:val="30F903E7"/>
    <w:rsid w:val="32582CF8"/>
    <w:rsid w:val="32C446D4"/>
    <w:rsid w:val="34A56279"/>
    <w:rsid w:val="35C56AAB"/>
    <w:rsid w:val="36A7079D"/>
    <w:rsid w:val="36BF0FCC"/>
    <w:rsid w:val="37327F54"/>
    <w:rsid w:val="39385DFD"/>
    <w:rsid w:val="3A2F2590"/>
    <w:rsid w:val="3AE71D69"/>
    <w:rsid w:val="3D8B21D4"/>
    <w:rsid w:val="3F0C40F9"/>
    <w:rsid w:val="3FE974ED"/>
    <w:rsid w:val="40BD0D87"/>
    <w:rsid w:val="43234C5C"/>
    <w:rsid w:val="43A93D04"/>
    <w:rsid w:val="44B347F5"/>
    <w:rsid w:val="46C47FE9"/>
    <w:rsid w:val="47377AE5"/>
    <w:rsid w:val="489439C9"/>
    <w:rsid w:val="49A57834"/>
    <w:rsid w:val="4BE56CD6"/>
    <w:rsid w:val="4CC11CC4"/>
    <w:rsid w:val="4ECC525B"/>
    <w:rsid w:val="4EF4576E"/>
    <w:rsid w:val="506C1F5E"/>
    <w:rsid w:val="50A619F8"/>
    <w:rsid w:val="50E8359F"/>
    <w:rsid w:val="510F68EB"/>
    <w:rsid w:val="513D41D6"/>
    <w:rsid w:val="52265E0A"/>
    <w:rsid w:val="52D539AF"/>
    <w:rsid w:val="544F0467"/>
    <w:rsid w:val="57D34E40"/>
    <w:rsid w:val="57F61C1B"/>
    <w:rsid w:val="580E0BF1"/>
    <w:rsid w:val="58254B7B"/>
    <w:rsid w:val="5A863CA1"/>
    <w:rsid w:val="5AE042D8"/>
    <w:rsid w:val="5DD17661"/>
    <w:rsid w:val="609F196E"/>
    <w:rsid w:val="629643AB"/>
    <w:rsid w:val="63A60CE6"/>
    <w:rsid w:val="64BE1A4B"/>
    <w:rsid w:val="6609210B"/>
    <w:rsid w:val="67837983"/>
    <w:rsid w:val="680918ED"/>
    <w:rsid w:val="6BE65FBA"/>
    <w:rsid w:val="6C574BA3"/>
    <w:rsid w:val="6C7320D1"/>
    <w:rsid w:val="6FBA7291"/>
    <w:rsid w:val="70705982"/>
    <w:rsid w:val="70DE483B"/>
    <w:rsid w:val="71D935A5"/>
    <w:rsid w:val="73BE069A"/>
    <w:rsid w:val="75153B55"/>
    <w:rsid w:val="79B569D3"/>
    <w:rsid w:val="79D52F39"/>
    <w:rsid w:val="7EAE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0</TotalTime>
  <ScaleCrop>false</ScaleCrop>
  <LinksUpToDate>false</LinksUpToDate>
  <CharactersWithSpaces>3371</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SJ</cp:lastModifiedBy>
  <cp:lastPrinted>2018-01-30T06:12:00Z</cp:lastPrinted>
  <dcterms:modified xsi:type="dcterms:W3CDTF">2023-11-16T06:42:41Z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63120F1513294D5C945B6321B5814C33</vt:lpwstr>
  </property>
</Properties>
</file>